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75CF2" w14:textId="46C66F26" w:rsidR="00A22B37" w:rsidRDefault="00094055" w:rsidP="00D04CCB">
      <w:pPr>
        <w:pStyle w:val="Heading1"/>
        <w:spacing w:line="360" w:lineRule="auto"/>
      </w:pPr>
      <w:r w:rsidRPr="0030027C">
        <w:t xml:space="preserve">SUPPLEMENTARY </w:t>
      </w:r>
      <w:r w:rsidR="00FF3E35">
        <w:t>figures and tables</w:t>
      </w:r>
    </w:p>
    <w:p w14:paraId="20875CF3" w14:textId="77777777" w:rsidR="00A22B37" w:rsidRPr="0030027C" w:rsidRDefault="00E80C71" w:rsidP="00A22B37">
      <w:pPr>
        <w:spacing w:line="360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20875EEA" wp14:editId="20875EEB">
            <wp:extent cx="4266566" cy="3764280"/>
            <wp:effectExtent l="19050" t="19050" r="19685" b="266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434" t="-3696" r="-6434" b="-3696"/>
                    <a:stretch/>
                  </pic:blipFill>
                  <pic:spPr bwMode="auto">
                    <a:xfrm>
                      <a:off x="0" y="0"/>
                      <a:ext cx="4266566" cy="37642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875CF4" w14:textId="4C1A0BDE" w:rsidR="00A22B37" w:rsidRPr="0030027C" w:rsidRDefault="00490A7C" w:rsidP="00A22B37">
      <w:pPr>
        <w:pStyle w:val="Caption"/>
        <w:rPr>
          <w:b w:val="0"/>
        </w:rPr>
      </w:pPr>
      <w:bookmarkStart w:id="0" w:name="_Ref518537892"/>
      <w:bookmarkStart w:id="1" w:name="_Toc527532813"/>
      <w:r>
        <w:t xml:space="preserve">Suppl. </w:t>
      </w:r>
      <w:r w:rsidRPr="0030027C">
        <w:t xml:space="preserve">figure </w:t>
      </w:r>
      <w:r w:rsidR="00A22B37" w:rsidRPr="0030027C">
        <w:rPr>
          <w:noProof/>
        </w:rPr>
        <w:fldChar w:fldCharType="begin"/>
      </w:r>
      <w:r w:rsidR="00A22B37" w:rsidRPr="0030027C">
        <w:rPr>
          <w:noProof/>
        </w:rPr>
        <w:instrText xml:space="preserve"> SEQ Figure \* ARABIC </w:instrText>
      </w:r>
      <w:r w:rsidR="00A22B37" w:rsidRPr="0030027C">
        <w:rPr>
          <w:noProof/>
        </w:rPr>
        <w:fldChar w:fldCharType="separate"/>
      </w:r>
      <w:r w:rsidR="009C40D8">
        <w:rPr>
          <w:noProof/>
        </w:rPr>
        <w:t>1</w:t>
      </w:r>
      <w:r w:rsidR="00A22B37" w:rsidRPr="0030027C">
        <w:rPr>
          <w:noProof/>
        </w:rPr>
        <w:fldChar w:fldCharType="end"/>
      </w:r>
      <w:bookmarkEnd w:id="0"/>
      <w:r w:rsidR="00A22B37" w:rsidRPr="0030027C">
        <w:t xml:space="preserve">: Summary of frontal cortex cohorts used in </w:t>
      </w:r>
      <w:r w:rsidR="00A22B37" w:rsidRPr="0030027C">
        <w:rPr>
          <w:noProof/>
        </w:rPr>
        <w:t>current</w:t>
      </w:r>
      <w:r w:rsidR="00A22B37" w:rsidRPr="0030027C">
        <w:t xml:space="preserve"> study. </w:t>
      </w:r>
      <w:r w:rsidR="00FB134D">
        <w:rPr>
          <w:b w:val="0"/>
        </w:rPr>
        <w:t xml:space="preserve">Further clinical </w:t>
      </w:r>
      <w:r w:rsidR="00406D0E">
        <w:rPr>
          <w:b w:val="0"/>
        </w:rPr>
        <w:t>features and neuropathological</w:t>
      </w:r>
      <w:r w:rsidR="00A22B37" w:rsidRPr="0030027C">
        <w:rPr>
          <w:b w:val="0"/>
        </w:rPr>
        <w:t xml:space="preserve"> details of the cohort are given in the </w:t>
      </w:r>
      <w:bookmarkEnd w:id="1"/>
      <w:r w:rsidR="003C43D6">
        <w:rPr>
          <w:b w:val="0"/>
        </w:rPr>
        <w:t>Additional file 2</w:t>
      </w:r>
      <w:r w:rsidR="00BF4775">
        <w:rPr>
          <w:b w:val="0"/>
        </w:rPr>
        <w:t>.</w:t>
      </w:r>
    </w:p>
    <w:p w14:paraId="20875CF5" w14:textId="77777777" w:rsidR="00A22B37" w:rsidRPr="0030027C" w:rsidRDefault="00E80C71" w:rsidP="00A22B37">
      <w:pPr>
        <w:spacing w:line="360" w:lineRule="auto"/>
        <w:jc w:val="center"/>
      </w:pPr>
      <w:r w:rsidRPr="00335DA4">
        <w:rPr>
          <w:noProof/>
        </w:rPr>
        <w:drawing>
          <wp:inline distT="0" distB="0" distL="0" distR="0" wp14:anchorId="20875EEC" wp14:editId="20875EED">
            <wp:extent cx="5036820" cy="2316480"/>
            <wp:effectExtent l="19050" t="19050" r="0" b="762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r="-27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316480"/>
                    </a:xfrm>
                    <a:prstGeom prst="rect">
                      <a:avLst/>
                    </a:prstGeom>
                    <a:noFill/>
                    <a:ln w="9525" cmpd="sng" algn="ctr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0875CF6" w14:textId="77777777" w:rsidR="00D04CCB" w:rsidRPr="0030027C" w:rsidRDefault="00490A7C" w:rsidP="004A5007">
      <w:pPr>
        <w:pStyle w:val="Caption"/>
      </w:pPr>
      <w:bookmarkStart w:id="2" w:name="_Ref525166102"/>
      <w:bookmarkStart w:id="3" w:name="_Toc527532814"/>
      <w:r w:rsidRPr="00490A7C">
        <w:t xml:space="preserve">Suppl. </w:t>
      </w:r>
      <w:r w:rsidRPr="0030027C">
        <w:t xml:space="preserve">figure </w:t>
      </w:r>
      <w:r w:rsidR="00A22B37" w:rsidRPr="0030027C">
        <w:rPr>
          <w:noProof/>
        </w:rPr>
        <w:fldChar w:fldCharType="begin"/>
      </w:r>
      <w:r w:rsidR="00A22B37" w:rsidRPr="0030027C">
        <w:rPr>
          <w:noProof/>
        </w:rPr>
        <w:instrText xml:space="preserve"> SEQ Figure \* ARABIC </w:instrText>
      </w:r>
      <w:r w:rsidR="00A22B37" w:rsidRPr="0030027C">
        <w:rPr>
          <w:noProof/>
        </w:rPr>
        <w:fldChar w:fldCharType="separate"/>
      </w:r>
      <w:r w:rsidR="009C40D8">
        <w:rPr>
          <w:noProof/>
        </w:rPr>
        <w:t>2</w:t>
      </w:r>
      <w:r w:rsidR="00A22B37" w:rsidRPr="0030027C">
        <w:rPr>
          <w:noProof/>
        </w:rPr>
        <w:fldChar w:fldCharType="end"/>
      </w:r>
      <w:bookmarkEnd w:id="2"/>
      <w:r w:rsidR="00A22B37" w:rsidRPr="0030027C">
        <w:t>: Sample cohorts used in the study</w:t>
      </w:r>
      <w:r w:rsidR="00A22B37" w:rsidRPr="0030027C">
        <w:rPr>
          <w:b w:val="0"/>
        </w:rPr>
        <w:t xml:space="preserve"> A) Comparison of ages of the diverse pathological </w:t>
      </w:r>
      <w:r w:rsidR="003C43D6">
        <w:rPr>
          <w:b w:val="0"/>
        </w:rPr>
        <w:t>groups</w:t>
      </w:r>
      <w:r w:rsidR="00A22B37" w:rsidRPr="0030027C">
        <w:rPr>
          <w:b w:val="0"/>
        </w:rPr>
        <w:t xml:space="preserve"> used in the study. B) </w:t>
      </w:r>
      <w:r w:rsidR="00A22B37" w:rsidRPr="0030027C">
        <w:rPr>
          <w:b w:val="0"/>
          <w:noProof/>
        </w:rPr>
        <w:t>Graph</w:t>
      </w:r>
      <w:r w:rsidR="00A22B37" w:rsidRPr="0030027C">
        <w:rPr>
          <w:b w:val="0"/>
        </w:rPr>
        <w:t xml:space="preserve"> presents a comparison of post-mortem intervals to the time of autopsies.</w:t>
      </w:r>
      <w:bookmarkEnd w:id="3"/>
      <w:r w:rsidR="004A5007">
        <w:rPr>
          <w:b w:val="0"/>
        </w:rPr>
        <w:t xml:space="preserve"> </w:t>
      </w:r>
      <w:r w:rsidR="00A22B37">
        <w:br w:type="page"/>
      </w:r>
    </w:p>
    <w:p w14:paraId="20875CF7" w14:textId="77777777" w:rsidR="00DF1870" w:rsidRPr="0030027C" w:rsidRDefault="00490A7C" w:rsidP="00DF1870">
      <w:pPr>
        <w:pStyle w:val="Caption"/>
      </w:pPr>
      <w:bookmarkStart w:id="4" w:name="_Ref534212641"/>
      <w:bookmarkStart w:id="5" w:name="_Toc518535936"/>
      <w:bookmarkStart w:id="6" w:name="_Toc518536019"/>
      <w:bookmarkStart w:id="7" w:name="_Toc527532780"/>
      <w:r>
        <w:lastRenderedPageBreak/>
        <w:t xml:space="preserve">Suppl. </w:t>
      </w:r>
      <w:r w:rsidRPr="0030027C">
        <w:t xml:space="preserve">table </w:t>
      </w:r>
      <w:r w:rsidR="00DF1870" w:rsidRPr="0030027C">
        <w:rPr>
          <w:noProof/>
        </w:rPr>
        <w:fldChar w:fldCharType="begin"/>
      </w:r>
      <w:r w:rsidR="00DF1870" w:rsidRPr="0030027C">
        <w:rPr>
          <w:noProof/>
        </w:rPr>
        <w:instrText xml:space="preserve"> SEQ Table \* ARABIC </w:instrText>
      </w:r>
      <w:r w:rsidR="00DF1870" w:rsidRPr="0030027C">
        <w:rPr>
          <w:noProof/>
        </w:rPr>
        <w:fldChar w:fldCharType="separate"/>
      </w:r>
      <w:r w:rsidR="009C40D8">
        <w:rPr>
          <w:noProof/>
        </w:rPr>
        <w:t>1</w:t>
      </w:r>
      <w:r w:rsidR="00DF1870" w:rsidRPr="0030027C">
        <w:rPr>
          <w:noProof/>
        </w:rPr>
        <w:fldChar w:fldCharType="end"/>
      </w:r>
      <w:bookmarkEnd w:id="4"/>
      <w:r w:rsidR="00DF1870" w:rsidRPr="0030027C">
        <w:rPr>
          <w:noProof/>
        </w:rPr>
        <w:t xml:space="preserve"> :</w:t>
      </w:r>
      <w:r w:rsidR="00DF1870" w:rsidRPr="0030027C">
        <w:t xml:space="preserve"> List of primary antibodies and their applications in the </w:t>
      </w:r>
      <w:r w:rsidR="00DF1870" w:rsidRPr="0030027C">
        <w:rPr>
          <w:noProof/>
        </w:rPr>
        <w:t>current</w:t>
      </w:r>
      <w:r w:rsidR="00DF1870" w:rsidRPr="0030027C">
        <w:t xml:space="preserve"> study</w:t>
      </w:r>
      <w:bookmarkEnd w:id="5"/>
      <w:bookmarkEnd w:id="6"/>
      <w:bookmarkEnd w:id="7"/>
    </w:p>
    <w:tbl>
      <w:tblPr>
        <w:tblW w:w="9452" w:type="dxa"/>
        <w:jc w:val="center"/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1701"/>
        <w:gridCol w:w="1418"/>
        <w:gridCol w:w="2222"/>
      </w:tblGrid>
      <w:tr w:rsidR="00DF1870" w:rsidRPr="00A12823" w14:paraId="20875CFD" w14:textId="77777777" w:rsidTr="004A5007">
        <w:trPr>
          <w:trHeight w:val="324"/>
          <w:jc w:val="center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75CF8" w14:textId="77777777" w:rsidR="00DF1870" w:rsidRPr="00A12823" w:rsidRDefault="00DF1870" w:rsidP="00971704">
            <w:pPr>
              <w:spacing w:after="0"/>
              <w:rPr>
                <w:b/>
                <w:sz w:val="20"/>
                <w:szCs w:val="20"/>
              </w:rPr>
            </w:pPr>
            <w:r w:rsidRPr="00A12823">
              <w:rPr>
                <w:b/>
                <w:sz w:val="20"/>
                <w:szCs w:val="20"/>
              </w:rPr>
              <w:t>Primary Antibody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75CF9" w14:textId="77777777" w:rsidR="00DF1870" w:rsidRPr="00A12823" w:rsidRDefault="00DF1870" w:rsidP="00971704">
            <w:pPr>
              <w:spacing w:after="0"/>
              <w:rPr>
                <w:b/>
                <w:sz w:val="20"/>
                <w:szCs w:val="20"/>
              </w:rPr>
            </w:pPr>
            <w:r w:rsidRPr="00A12823">
              <w:rPr>
                <w:b/>
                <w:sz w:val="20"/>
                <w:szCs w:val="20"/>
              </w:rPr>
              <w:t>Origin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75CFA" w14:textId="77777777" w:rsidR="00DF1870" w:rsidRPr="00A12823" w:rsidRDefault="00DF1870" w:rsidP="004A5007">
            <w:pPr>
              <w:spacing w:after="0"/>
              <w:rPr>
                <w:b/>
                <w:sz w:val="20"/>
                <w:szCs w:val="20"/>
              </w:rPr>
            </w:pPr>
            <w:r w:rsidRPr="00A12823">
              <w:rPr>
                <w:b/>
                <w:sz w:val="20"/>
                <w:szCs w:val="20"/>
              </w:rPr>
              <w:t>Dilution (IB/IP)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75CFB" w14:textId="77777777" w:rsidR="00DF1870" w:rsidRPr="00A12823" w:rsidRDefault="00DF1870" w:rsidP="004A5007">
            <w:pPr>
              <w:spacing w:after="0"/>
              <w:rPr>
                <w:b/>
                <w:sz w:val="20"/>
                <w:szCs w:val="20"/>
              </w:rPr>
            </w:pPr>
            <w:r w:rsidRPr="00A12823">
              <w:rPr>
                <w:b/>
                <w:sz w:val="20"/>
                <w:szCs w:val="20"/>
              </w:rPr>
              <w:t>Dilution (IF)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75CFC" w14:textId="77777777" w:rsidR="00DF1870" w:rsidRPr="00A12823" w:rsidRDefault="00DF1870" w:rsidP="00971704">
            <w:pPr>
              <w:spacing w:after="0"/>
              <w:rPr>
                <w:b/>
                <w:sz w:val="20"/>
                <w:szCs w:val="20"/>
              </w:rPr>
            </w:pPr>
            <w:r w:rsidRPr="00A12823">
              <w:rPr>
                <w:b/>
                <w:sz w:val="20"/>
                <w:szCs w:val="20"/>
              </w:rPr>
              <w:t>Company/ Cat. No.</w:t>
            </w:r>
          </w:p>
        </w:tc>
      </w:tr>
      <w:tr w:rsidR="00DF1870" w:rsidRPr="00A12823" w14:paraId="20875D03" w14:textId="77777777" w:rsidTr="004A5007">
        <w:trPr>
          <w:trHeight w:val="309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CFE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 xml:space="preserve">SAF 70 (anti </w:t>
            </w:r>
            <w:proofErr w:type="spellStart"/>
            <w:r w:rsidRPr="00A12823">
              <w:rPr>
                <w:sz w:val="20"/>
                <w:szCs w:val="20"/>
              </w:rPr>
              <w:t>PrP</w:t>
            </w:r>
            <w:proofErr w:type="spellEnd"/>
            <w:r w:rsidRPr="00A12823">
              <w:rPr>
                <w:sz w:val="20"/>
                <w:szCs w:val="20"/>
              </w:rPr>
              <w:t xml:space="preserve"> antibody)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CFF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Mouse IgG2b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00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1:1000/1:100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01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02" w14:textId="77777777" w:rsidR="00DF1870" w:rsidRPr="00A12823" w:rsidRDefault="00DF1870" w:rsidP="00971704">
            <w:pPr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A12823">
              <w:rPr>
                <w:sz w:val="20"/>
                <w:szCs w:val="20"/>
              </w:rPr>
              <w:t>SPIbio</w:t>
            </w:r>
            <w:proofErr w:type="spellEnd"/>
            <w:r w:rsidRPr="00A12823">
              <w:rPr>
                <w:sz w:val="20"/>
                <w:szCs w:val="20"/>
              </w:rPr>
              <w:t xml:space="preserve"> / A03206</w:t>
            </w:r>
          </w:p>
        </w:tc>
      </w:tr>
      <w:tr w:rsidR="00DF1870" w:rsidRPr="00A12823" w14:paraId="20875D09" w14:textId="77777777" w:rsidTr="004A5007">
        <w:trPr>
          <w:trHeight w:val="309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04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Actin-beta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05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Mouse IgM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06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07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08" w14:textId="77777777" w:rsidR="00DF1870" w:rsidRPr="00A12823" w:rsidRDefault="00DF1870" w:rsidP="00971704">
            <w:pPr>
              <w:spacing w:after="0"/>
              <w:jc w:val="left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Sigma / A5441</w:t>
            </w:r>
          </w:p>
        </w:tc>
      </w:tr>
      <w:tr w:rsidR="00DF1870" w:rsidRPr="00A12823" w14:paraId="20875D0F" w14:textId="77777777" w:rsidTr="004A5007">
        <w:trPr>
          <w:trHeight w:val="309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0A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Zinc Alpha 2 Glycoprotein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0B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Mouse IgG1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0C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1:1000/ 1:100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0D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0E" w14:textId="77777777" w:rsidR="00DF1870" w:rsidRPr="00A12823" w:rsidRDefault="00DF1870" w:rsidP="00971704">
            <w:pPr>
              <w:spacing w:after="0"/>
              <w:jc w:val="left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Abcam / ab117275</w:t>
            </w:r>
          </w:p>
        </w:tc>
      </w:tr>
      <w:tr w:rsidR="00DF1870" w:rsidRPr="00A12823" w14:paraId="20875D15" w14:textId="77777777" w:rsidTr="004A5007">
        <w:trPr>
          <w:trHeight w:val="309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10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 xml:space="preserve">GAPDH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11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Mouse IgM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12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13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14" w14:textId="77777777" w:rsidR="00DF1870" w:rsidRPr="00A12823" w:rsidRDefault="00DF1870" w:rsidP="00971704">
            <w:pPr>
              <w:spacing w:after="0"/>
              <w:jc w:val="left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Sigma / G8795</w:t>
            </w:r>
          </w:p>
        </w:tc>
      </w:tr>
      <w:tr w:rsidR="00DF1870" w:rsidRPr="00A12823" w14:paraId="20875D1B" w14:textId="77777777" w:rsidTr="004A5007">
        <w:trPr>
          <w:trHeight w:val="309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75D16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G2L2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75D17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Rabbit IgG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75D18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75D19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75D1A" w14:textId="77777777" w:rsidR="00DF1870" w:rsidRPr="00A12823" w:rsidRDefault="00DF1870" w:rsidP="00971704">
            <w:pPr>
              <w:spacing w:after="0"/>
              <w:jc w:val="left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Abcam / ab170275</w:t>
            </w:r>
          </w:p>
        </w:tc>
      </w:tr>
      <w:tr w:rsidR="00DF1870" w:rsidRPr="00A12823" w14:paraId="20875D21" w14:textId="77777777" w:rsidTr="004A5007">
        <w:trPr>
          <w:trHeight w:val="309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75D1C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EB-1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75D1D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Rabbit IgG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75D1E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75D1F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75D20" w14:textId="77777777" w:rsidR="00DF1870" w:rsidRPr="00A12823" w:rsidRDefault="00DF1870" w:rsidP="00971704">
            <w:pPr>
              <w:spacing w:after="0"/>
              <w:jc w:val="left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 xml:space="preserve">Invitrogen / </w:t>
            </w:r>
            <w:r w:rsidRPr="00A12823">
              <w:rPr>
                <w:rStyle w:val="cat-num"/>
                <w:sz w:val="20"/>
                <w:szCs w:val="20"/>
              </w:rPr>
              <w:t>PA5-25913</w:t>
            </w:r>
          </w:p>
        </w:tc>
      </w:tr>
      <w:tr w:rsidR="00DF1870" w:rsidRPr="00A12823" w14:paraId="20875D27" w14:textId="77777777" w:rsidTr="004A5007">
        <w:trPr>
          <w:trHeight w:val="66"/>
          <w:jc w:val="center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875D22" w14:textId="77777777" w:rsidR="00DF1870" w:rsidRPr="00A12823" w:rsidRDefault="00DF1870" w:rsidP="00971704">
            <w:pPr>
              <w:spacing w:after="0"/>
              <w:jc w:val="left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Tubulin-alpha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875D23" w14:textId="77777777" w:rsidR="00DF1870" w:rsidRPr="00A12823" w:rsidRDefault="00DF1870" w:rsidP="00971704">
            <w:pPr>
              <w:spacing w:after="0"/>
              <w:jc w:val="left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Mouse IgG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875D24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875D25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875D26" w14:textId="77777777" w:rsidR="00DF1870" w:rsidRPr="00A12823" w:rsidRDefault="00DF1870" w:rsidP="00971704">
            <w:pPr>
              <w:spacing w:after="0"/>
              <w:jc w:val="left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Santacruz biotech. / sc-58667</w:t>
            </w:r>
          </w:p>
        </w:tc>
      </w:tr>
    </w:tbl>
    <w:p w14:paraId="20875D28" w14:textId="77777777" w:rsidR="00DF1870" w:rsidRPr="0030027C" w:rsidRDefault="00C53804" w:rsidP="00DF1870">
      <w:pPr>
        <w:pStyle w:val="Caption"/>
        <w:spacing w:after="0"/>
        <w:ind w:right="522"/>
      </w:pPr>
      <w:bookmarkStart w:id="8" w:name="_Ref534212646"/>
      <w:bookmarkStart w:id="9" w:name="_Toc518535937"/>
      <w:bookmarkStart w:id="10" w:name="_Toc518536020"/>
      <w:bookmarkStart w:id="11" w:name="_Toc527532781"/>
      <w:r>
        <w:t>Suppl. t</w:t>
      </w:r>
      <w:r w:rsidR="00DF1870" w:rsidRPr="0030027C">
        <w:t xml:space="preserve">able </w:t>
      </w:r>
      <w:r w:rsidR="00DF1870" w:rsidRPr="0030027C">
        <w:rPr>
          <w:noProof/>
        </w:rPr>
        <w:fldChar w:fldCharType="begin"/>
      </w:r>
      <w:r w:rsidR="00DF1870" w:rsidRPr="0030027C">
        <w:rPr>
          <w:noProof/>
        </w:rPr>
        <w:instrText xml:space="preserve"> SEQ Table \* ARABIC </w:instrText>
      </w:r>
      <w:r w:rsidR="00DF1870" w:rsidRPr="0030027C">
        <w:rPr>
          <w:noProof/>
        </w:rPr>
        <w:fldChar w:fldCharType="separate"/>
      </w:r>
      <w:r w:rsidR="009C40D8">
        <w:rPr>
          <w:noProof/>
        </w:rPr>
        <w:t>2</w:t>
      </w:r>
      <w:r w:rsidR="00DF1870" w:rsidRPr="0030027C">
        <w:rPr>
          <w:noProof/>
        </w:rPr>
        <w:fldChar w:fldCharType="end"/>
      </w:r>
      <w:bookmarkEnd w:id="8"/>
      <w:r w:rsidR="00DF1870" w:rsidRPr="0030027C">
        <w:t xml:space="preserve">: List of secondary antibodies and their applications in </w:t>
      </w:r>
      <w:r w:rsidR="00DF1870" w:rsidRPr="0030027C">
        <w:rPr>
          <w:noProof/>
        </w:rPr>
        <w:t>current</w:t>
      </w:r>
      <w:r w:rsidR="00DF1870" w:rsidRPr="0030027C">
        <w:t xml:space="preserve"> study</w:t>
      </w:r>
      <w:bookmarkEnd w:id="9"/>
      <w:bookmarkEnd w:id="10"/>
      <w:bookmarkEnd w:id="11"/>
    </w:p>
    <w:tbl>
      <w:tblPr>
        <w:tblW w:w="5000" w:type="pct"/>
        <w:tblLook w:val="04A0" w:firstRow="1" w:lastRow="0" w:firstColumn="1" w:lastColumn="0" w:noHBand="0" w:noVBand="1"/>
      </w:tblPr>
      <w:tblGrid>
        <w:gridCol w:w="2325"/>
        <w:gridCol w:w="920"/>
        <w:gridCol w:w="1569"/>
        <w:gridCol w:w="1556"/>
        <w:gridCol w:w="3036"/>
      </w:tblGrid>
      <w:tr w:rsidR="00DF1870" w:rsidRPr="00A12823" w14:paraId="20875D2E" w14:textId="77777777" w:rsidTr="00971704">
        <w:trPr>
          <w:trHeight w:val="315"/>
        </w:trPr>
        <w:tc>
          <w:tcPr>
            <w:tcW w:w="1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75D29" w14:textId="77777777" w:rsidR="00DF1870" w:rsidRPr="00A12823" w:rsidRDefault="00DF1870" w:rsidP="00971704">
            <w:pPr>
              <w:spacing w:after="0"/>
              <w:rPr>
                <w:b/>
                <w:sz w:val="20"/>
                <w:szCs w:val="20"/>
              </w:rPr>
            </w:pPr>
            <w:r w:rsidRPr="00A12823">
              <w:rPr>
                <w:b/>
                <w:sz w:val="20"/>
                <w:szCs w:val="20"/>
              </w:rPr>
              <w:t>Secondary antibody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75D2A" w14:textId="77777777" w:rsidR="00DF1870" w:rsidRPr="00A12823" w:rsidRDefault="00DF1870" w:rsidP="00971704">
            <w:pPr>
              <w:spacing w:after="0"/>
              <w:rPr>
                <w:b/>
                <w:sz w:val="20"/>
                <w:szCs w:val="20"/>
              </w:rPr>
            </w:pPr>
            <w:r w:rsidRPr="00A12823">
              <w:rPr>
                <w:b/>
                <w:sz w:val="20"/>
                <w:szCs w:val="20"/>
              </w:rPr>
              <w:t>Origin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75D2B" w14:textId="77777777" w:rsidR="00DF1870" w:rsidRPr="00A12823" w:rsidRDefault="00DF1870" w:rsidP="00971704">
            <w:pPr>
              <w:spacing w:after="0"/>
              <w:rPr>
                <w:b/>
                <w:sz w:val="20"/>
                <w:szCs w:val="20"/>
              </w:rPr>
            </w:pPr>
            <w:r w:rsidRPr="00A12823">
              <w:rPr>
                <w:b/>
                <w:sz w:val="20"/>
                <w:szCs w:val="20"/>
              </w:rPr>
              <w:t>Dilution (IB)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75D2C" w14:textId="77777777" w:rsidR="00DF1870" w:rsidRPr="00A12823" w:rsidRDefault="00DF1870" w:rsidP="00971704">
            <w:pPr>
              <w:spacing w:after="0"/>
              <w:rPr>
                <w:b/>
                <w:sz w:val="20"/>
                <w:szCs w:val="20"/>
              </w:rPr>
            </w:pPr>
            <w:r w:rsidRPr="00A12823">
              <w:rPr>
                <w:b/>
                <w:sz w:val="20"/>
                <w:szCs w:val="20"/>
              </w:rPr>
              <w:t>Dilution (IF)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75D2D" w14:textId="77777777" w:rsidR="00DF1870" w:rsidRPr="00A12823" w:rsidRDefault="00DF1870" w:rsidP="00971704">
            <w:pPr>
              <w:spacing w:after="0"/>
              <w:rPr>
                <w:b/>
                <w:sz w:val="20"/>
                <w:szCs w:val="20"/>
              </w:rPr>
            </w:pPr>
            <w:r w:rsidRPr="00A12823">
              <w:rPr>
                <w:b/>
                <w:sz w:val="20"/>
                <w:szCs w:val="20"/>
              </w:rPr>
              <w:t>Company/ Cat. No.</w:t>
            </w:r>
          </w:p>
        </w:tc>
      </w:tr>
      <w:tr w:rsidR="00DF1870" w:rsidRPr="00A12823" w14:paraId="20875D34" w14:textId="77777777" w:rsidTr="00971704">
        <w:trPr>
          <w:trHeight w:val="300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2F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 xml:space="preserve">α-Mouse-HRP 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30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Goat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31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1:10000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32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-</w:t>
            </w:r>
          </w:p>
        </w:tc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33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proofErr w:type="spellStart"/>
            <w:r w:rsidRPr="00A12823">
              <w:rPr>
                <w:sz w:val="20"/>
                <w:szCs w:val="20"/>
              </w:rPr>
              <w:t>JacksonIR</w:t>
            </w:r>
            <w:proofErr w:type="spellEnd"/>
            <w:r w:rsidRPr="00A12823">
              <w:rPr>
                <w:sz w:val="20"/>
                <w:szCs w:val="20"/>
              </w:rPr>
              <w:t xml:space="preserve"> Lab / 115-035-062</w:t>
            </w:r>
          </w:p>
        </w:tc>
      </w:tr>
      <w:tr w:rsidR="00DF1870" w:rsidRPr="00A12823" w14:paraId="20875D3A" w14:textId="77777777" w:rsidTr="00971704">
        <w:trPr>
          <w:trHeight w:val="300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35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 xml:space="preserve">α-Rabbit-HRP 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36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Goat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37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1:10000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38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-</w:t>
            </w:r>
          </w:p>
        </w:tc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39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proofErr w:type="spellStart"/>
            <w:r w:rsidRPr="00A12823">
              <w:rPr>
                <w:sz w:val="20"/>
                <w:szCs w:val="20"/>
              </w:rPr>
              <w:t>JacksonIR</w:t>
            </w:r>
            <w:proofErr w:type="spellEnd"/>
            <w:r w:rsidRPr="00A12823">
              <w:rPr>
                <w:sz w:val="20"/>
                <w:szCs w:val="20"/>
              </w:rPr>
              <w:t xml:space="preserve"> Lab / 111-035-144</w:t>
            </w:r>
          </w:p>
        </w:tc>
      </w:tr>
      <w:tr w:rsidR="00DF1870" w:rsidRPr="00A12823" w14:paraId="20875D40" w14:textId="77777777" w:rsidTr="00971704">
        <w:trPr>
          <w:trHeight w:val="300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3B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α-Goat-HRP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3C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Goat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3D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-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3E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1:200</w:t>
            </w:r>
          </w:p>
        </w:tc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3F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proofErr w:type="spellStart"/>
            <w:r w:rsidRPr="00A12823">
              <w:rPr>
                <w:sz w:val="20"/>
                <w:szCs w:val="20"/>
              </w:rPr>
              <w:t>JacksonIR</w:t>
            </w:r>
            <w:proofErr w:type="spellEnd"/>
            <w:r w:rsidRPr="00A12823">
              <w:rPr>
                <w:sz w:val="20"/>
                <w:szCs w:val="20"/>
              </w:rPr>
              <w:t xml:space="preserve"> Lab / 705-035-003</w:t>
            </w:r>
          </w:p>
        </w:tc>
      </w:tr>
      <w:tr w:rsidR="00DF1870" w:rsidRPr="00A12823" w14:paraId="20875D46" w14:textId="77777777" w:rsidTr="00971704">
        <w:trPr>
          <w:trHeight w:val="300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41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 xml:space="preserve">α-Mouse-A488 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42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Goat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43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-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44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1:200</w:t>
            </w:r>
          </w:p>
        </w:tc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45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Thermo Fischer Sci. / A32723</w:t>
            </w:r>
          </w:p>
        </w:tc>
      </w:tr>
      <w:tr w:rsidR="00DF1870" w:rsidRPr="00A12823" w14:paraId="20875D4C" w14:textId="77777777" w:rsidTr="00971704">
        <w:trPr>
          <w:trHeight w:val="300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47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α-Rabbit-A488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48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Goat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49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-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4A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1:200</w:t>
            </w:r>
          </w:p>
        </w:tc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4B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Thermo Fischer Sci. / A-11034</w:t>
            </w:r>
          </w:p>
        </w:tc>
      </w:tr>
      <w:tr w:rsidR="00DF1870" w:rsidRPr="00A12823" w14:paraId="20875D52" w14:textId="77777777" w:rsidTr="00971704">
        <w:trPr>
          <w:trHeight w:val="300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4D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α-Mouse-A546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4E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Goat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4F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-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5D50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1:200</w:t>
            </w:r>
          </w:p>
        </w:tc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5D51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Thermo Fischer Sci. / A-11003</w:t>
            </w:r>
          </w:p>
        </w:tc>
      </w:tr>
      <w:tr w:rsidR="00DF1870" w:rsidRPr="00A12823" w14:paraId="20875D58" w14:textId="77777777" w:rsidTr="00971704">
        <w:trPr>
          <w:trHeight w:val="300"/>
        </w:trPr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75D53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α-Rabbit-A546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75D54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Goat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75D55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-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75D56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1:200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75D57" w14:textId="77777777" w:rsidR="00DF1870" w:rsidRPr="00A12823" w:rsidRDefault="00DF1870" w:rsidP="00971704">
            <w:pPr>
              <w:spacing w:after="0"/>
              <w:rPr>
                <w:sz w:val="20"/>
                <w:szCs w:val="20"/>
              </w:rPr>
            </w:pPr>
            <w:r w:rsidRPr="00A12823">
              <w:rPr>
                <w:sz w:val="20"/>
                <w:szCs w:val="20"/>
              </w:rPr>
              <w:t>Thermo Fischer Sci. / A-11010</w:t>
            </w:r>
          </w:p>
        </w:tc>
      </w:tr>
    </w:tbl>
    <w:p w14:paraId="20875D59" w14:textId="77777777" w:rsidR="00E87465" w:rsidRDefault="00E87465">
      <w:pPr>
        <w:spacing w:before="0" w:beforeAutospacing="0" w:after="160" w:afterAutospacing="0" w:line="259" w:lineRule="auto"/>
        <w:jc w:val="left"/>
      </w:pPr>
      <w:r>
        <w:br w:type="page"/>
      </w:r>
    </w:p>
    <w:p w14:paraId="20875D5A" w14:textId="77777777" w:rsidR="00B00D86" w:rsidRPr="00B00D86" w:rsidRDefault="00B00D86">
      <w:pPr>
        <w:spacing w:before="0" w:beforeAutospacing="0" w:after="160" w:afterAutospacing="0" w:line="259" w:lineRule="auto"/>
        <w:jc w:val="left"/>
        <w:rPr>
          <w:b/>
          <w:sz w:val="28"/>
        </w:rPr>
      </w:pPr>
      <w:r w:rsidRPr="00B00D86">
        <w:rPr>
          <w:b/>
          <w:sz w:val="28"/>
        </w:rPr>
        <w:lastRenderedPageBreak/>
        <w:t xml:space="preserve">High density prion protein interactors in </w:t>
      </w:r>
      <w:proofErr w:type="spellStart"/>
      <w:r w:rsidRPr="00B00D86">
        <w:rPr>
          <w:b/>
          <w:sz w:val="28"/>
        </w:rPr>
        <w:t>spAD</w:t>
      </w:r>
      <w:proofErr w:type="spellEnd"/>
      <w:r w:rsidRPr="00B00D86">
        <w:rPr>
          <w:b/>
          <w:sz w:val="28"/>
        </w:rPr>
        <w:t xml:space="preserve"> and </w:t>
      </w:r>
      <w:proofErr w:type="spellStart"/>
      <w:r w:rsidRPr="00B00D86">
        <w:rPr>
          <w:b/>
          <w:sz w:val="28"/>
        </w:rPr>
        <w:t>sCJD</w:t>
      </w:r>
      <w:proofErr w:type="spellEnd"/>
    </w:p>
    <w:p w14:paraId="20875D5B" w14:textId="7CE931BF" w:rsidR="00D04CCB" w:rsidRPr="0085600A" w:rsidRDefault="00094055" w:rsidP="0085600A">
      <w:pPr>
        <w:spacing w:line="480" w:lineRule="auto"/>
      </w:pPr>
      <w:r>
        <w:rPr>
          <w:color w:val="000000"/>
        </w:rPr>
        <w:t>N</w:t>
      </w:r>
      <w:r w:rsidR="00D04CCB" w:rsidRPr="00C14188">
        <w:rPr>
          <w:color w:val="000000"/>
        </w:rPr>
        <w:t xml:space="preserve">ine common interactors between CJD-MM1 and </w:t>
      </w:r>
      <w:proofErr w:type="spellStart"/>
      <w:r w:rsidR="00D04CCB" w:rsidRPr="00C14188">
        <w:rPr>
          <w:color w:val="000000"/>
        </w:rPr>
        <w:t>spAD</w:t>
      </w:r>
      <w:proofErr w:type="spellEnd"/>
      <w:r w:rsidR="00D04CCB" w:rsidRPr="00C14188">
        <w:rPr>
          <w:color w:val="000000"/>
        </w:rPr>
        <w:t xml:space="preserve"> HDFs, likewise, </w:t>
      </w:r>
      <w:r w:rsidR="0085600A" w:rsidRPr="00C14188">
        <w:t>we</w:t>
      </w:r>
      <w:r w:rsidR="00EF0DA7" w:rsidRPr="00C14188">
        <w:t xml:space="preserve"> could also identify three interactors common to the controls and </w:t>
      </w:r>
      <w:proofErr w:type="spellStart"/>
      <w:r w:rsidR="00EF0DA7" w:rsidRPr="00C14188">
        <w:t>spAD</w:t>
      </w:r>
      <w:proofErr w:type="spellEnd"/>
      <w:r w:rsidR="00EF0DA7" w:rsidRPr="00C14188">
        <w:t xml:space="preserve"> HDFs including </w:t>
      </w:r>
      <w:r w:rsidR="00EF0DA7" w:rsidRPr="00C14188">
        <w:rPr>
          <w:bCs/>
        </w:rPr>
        <w:t>cathepsin D</w:t>
      </w:r>
      <w:r w:rsidR="00EF0DA7" w:rsidRPr="00C14188">
        <w:t xml:space="preserve"> (CTSD</w:t>
      </w:r>
      <w:r w:rsidR="00EF0DA7" w:rsidRPr="00C14188">
        <w:rPr>
          <w:bCs/>
        </w:rPr>
        <w:t>)</w:t>
      </w:r>
      <w:r w:rsidR="00EF0DA7" w:rsidRPr="00C14188">
        <w:t>, catenin beta-1 (CTNNB1) and protein piccolo (PCLO).</w:t>
      </w:r>
      <w:r w:rsidR="00EF0DA7">
        <w:t xml:space="preserve"> </w:t>
      </w:r>
      <w:r w:rsidR="005433FE">
        <w:t>However,</w:t>
      </w:r>
      <w:r w:rsidR="0085600A">
        <w:t xml:space="preserve"> as </w:t>
      </w:r>
      <w:r w:rsidR="00760BCD">
        <w:t xml:space="preserve">HDPs are not reported previously for the Con and </w:t>
      </w:r>
      <w:proofErr w:type="spellStart"/>
      <w:r w:rsidR="00760BCD">
        <w:t>spAD</w:t>
      </w:r>
      <w:proofErr w:type="spellEnd"/>
      <w:r w:rsidR="00E919D9">
        <w:t xml:space="preserve">, </w:t>
      </w:r>
      <w:r w:rsidR="00A84D5D">
        <w:t xml:space="preserve">the HDP interacting proteins could </w:t>
      </w:r>
      <w:r w:rsidR="00E80909">
        <w:t>be detected in Co</w:t>
      </w:r>
      <w:r w:rsidR="00150EC3">
        <w:t xml:space="preserve">-IP eluates from </w:t>
      </w:r>
      <w:proofErr w:type="spellStart"/>
      <w:r w:rsidR="00150EC3">
        <w:t>spAD</w:t>
      </w:r>
      <w:proofErr w:type="spellEnd"/>
      <w:r w:rsidR="00150EC3">
        <w:t xml:space="preserve"> and Con HDFs </w:t>
      </w:r>
      <w:r w:rsidR="005A7172">
        <w:t>because of</w:t>
      </w:r>
      <w:r w:rsidR="00A84D5D">
        <w:t xml:space="preserve"> unspec</w:t>
      </w:r>
      <w:r w:rsidR="000E6B6E">
        <w:t xml:space="preserve">ific binding to </w:t>
      </w:r>
      <w:proofErr w:type="spellStart"/>
      <w:r w:rsidR="000E6B6E">
        <w:t>Dynabeads</w:t>
      </w:r>
      <w:proofErr w:type="spellEnd"/>
      <w:r w:rsidR="00E80909">
        <w:t>.</w:t>
      </w:r>
      <w:r w:rsidR="00E919D9">
        <w:t xml:space="preserve"> </w:t>
      </w:r>
      <w:r w:rsidR="0085600A" w:rsidRPr="00C14188">
        <w:rPr>
          <w:color w:val="000000"/>
        </w:rPr>
        <w:t xml:space="preserve">Nineteen </w:t>
      </w:r>
      <w:r w:rsidR="00D04CCB" w:rsidRPr="00C14188">
        <w:rPr>
          <w:color w:val="000000"/>
        </w:rPr>
        <w:t xml:space="preserve">common interactors for CJD-MM2 HDPs and seven from that of sCJD-VV2 were found in </w:t>
      </w:r>
      <w:proofErr w:type="spellStart"/>
      <w:r w:rsidR="00D04CCB" w:rsidRPr="00C14188">
        <w:rPr>
          <w:color w:val="000000"/>
        </w:rPr>
        <w:t>spAD</w:t>
      </w:r>
      <w:proofErr w:type="spellEnd"/>
      <w:r w:rsidR="00D04CCB" w:rsidRPr="00C14188">
        <w:rPr>
          <w:color w:val="000000"/>
        </w:rPr>
        <w:t xml:space="preserve">-HDFs as well. The number of HDP-interactors for the </w:t>
      </w:r>
      <w:proofErr w:type="spellStart"/>
      <w:r w:rsidR="00D04CCB" w:rsidRPr="00C14188">
        <w:rPr>
          <w:color w:val="000000"/>
        </w:rPr>
        <w:t>sCJD</w:t>
      </w:r>
      <w:proofErr w:type="spellEnd"/>
      <w:r w:rsidR="00D04CCB" w:rsidRPr="00C14188">
        <w:rPr>
          <w:color w:val="000000"/>
        </w:rPr>
        <w:t xml:space="preserve">-subtypes was higher compared to that of controls, </w:t>
      </w:r>
      <w:proofErr w:type="spellStart"/>
      <w:r w:rsidR="00D04CCB" w:rsidRPr="00C14188">
        <w:rPr>
          <w:color w:val="000000"/>
        </w:rPr>
        <w:t>spAD</w:t>
      </w:r>
      <w:proofErr w:type="spellEnd"/>
      <w:r w:rsidR="00D04CCB" w:rsidRPr="00C14188">
        <w:rPr>
          <w:color w:val="000000"/>
        </w:rPr>
        <w:t xml:space="preserve"> and </w:t>
      </w:r>
      <w:proofErr w:type="spellStart"/>
      <w:r w:rsidR="00D04CCB" w:rsidRPr="00C14188">
        <w:rPr>
          <w:color w:val="000000"/>
        </w:rPr>
        <w:t>rpAD</w:t>
      </w:r>
      <w:proofErr w:type="spellEnd"/>
      <w:r w:rsidR="00D04CCB" w:rsidRPr="00C14188">
        <w:rPr>
          <w:color w:val="000000"/>
        </w:rPr>
        <w:t xml:space="preserve"> and the degree of intergroup overlap between the HDP-interactors from </w:t>
      </w:r>
      <w:proofErr w:type="spellStart"/>
      <w:r w:rsidR="00D04CCB" w:rsidRPr="00C14188">
        <w:rPr>
          <w:color w:val="000000"/>
        </w:rPr>
        <w:t>sCJD</w:t>
      </w:r>
      <w:proofErr w:type="spellEnd"/>
      <w:r w:rsidR="00D04CCB" w:rsidRPr="00C14188">
        <w:rPr>
          <w:color w:val="000000"/>
        </w:rPr>
        <w:t xml:space="preserve"> subtypes was also the highest, presumably due to pathological similarities among the prion strains </w:t>
      </w:r>
      <w:r w:rsidR="00D04CCB" w:rsidRPr="00C14188">
        <w:t>(</w:t>
      </w:r>
      <w:r w:rsidR="00B00D86" w:rsidRPr="00B00D86">
        <w:rPr>
          <w:b/>
        </w:rPr>
        <w:t>additional file 7</w:t>
      </w:r>
      <w:r w:rsidR="00B00D86" w:rsidRPr="00C14188">
        <w:t>)</w:t>
      </w:r>
      <w:r w:rsidR="00B00D86" w:rsidRPr="00C14188">
        <w:rPr>
          <w:color w:val="000000"/>
        </w:rPr>
        <w:t xml:space="preserve">. </w:t>
      </w:r>
      <w:r w:rsidRPr="00C14188">
        <w:t xml:space="preserve">Aldolase </w:t>
      </w:r>
      <w:r w:rsidR="00B00D86" w:rsidRPr="00C14188">
        <w:t xml:space="preserve">c was commonly identified between </w:t>
      </w:r>
      <w:r w:rsidRPr="00C14188">
        <w:t>HDP</w:t>
      </w:r>
      <w:r>
        <w:t>s</w:t>
      </w:r>
      <w:r w:rsidR="00B00D86" w:rsidRPr="00C14188">
        <w:t xml:space="preserve"> of </w:t>
      </w:r>
      <w:proofErr w:type="spellStart"/>
      <w:r>
        <w:t>spAD</w:t>
      </w:r>
      <w:proofErr w:type="spellEnd"/>
      <w:r>
        <w:t xml:space="preserve"> </w:t>
      </w:r>
      <w:r w:rsidR="00B00D86" w:rsidRPr="00C14188">
        <w:t xml:space="preserve">and </w:t>
      </w:r>
      <w:r w:rsidRPr="00C14188">
        <w:t>VV2</w:t>
      </w:r>
      <w:r w:rsidR="00B00D86" w:rsidRPr="00C14188">
        <w:t xml:space="preserve">. </w:t>
      </w:r>
      <w:r w:rsidRPr="00C14188">
        <w:t xml:space="preserve">Catenin </w:t>
      </w:r>
      <w:r w:rsidR="00B00D86" w:rsidRPr="00C14188">
        <w:t xml:space="preserve">beta-1 and aconitase hydratase were commonly present between the </w:t>
      </w:r>
      <w:proofErr w:type="spellStart"/>
      <w:r w:rsidR="00B00D86" w:rsidRPr="00C14188">
        <w:t>sp</w:t>
      </w:r>
      <w:r>
        <w:t>AD</w:t>
      </w:r>
      <w:proofErr w:type="spellEnd"/>
      <w:r w:rsidR="00B00D86" w:rsidRPr="00C14188">
        <w:t xml:space="preserve">, </w:t>
      </w:r>
      <w:r w:rsidRPr="00C14188">
        <w:t>VV2</w:t>
      </w:r>
      <w:r w:rsidR="00B00D86" w:rsidRPr="00C14188">
        <w:t xml:space="preserve"> and </w:t>
      </w:r>
      <w:r w:rsidRPr="00C14188">
        <w:t xml:space="preserve">MM2 </w:t>
      </w:r>
      <w:r>
        <w:t>HDFs</w:t>
      </w:r>
      <w:r w:rsidR="00B00D86" w:rsidRPr="00C14188">
        <w:t xml:space="preserve">. </w:t>
      </w:r>
      <w:r>
        <w:t xml:space="preserve">Three </w:t>
      </w:r>
      <w:r w:rsidR="00B00D86" w:rsidRPr="00C14188">
        <w:t>proteins, namely protein piccolo, cathepsin</w:t>
      </w:r>
      <w:r>
        <w:t xml:space="preserve"> D</w:t>
      </w:r>
      <w:r w:rsidR="00B00D86" w:rsidRPr="00C14188">
        <w:t xml:space="preserve"> and triosephosphate isomerase were found commonly interacting to </w:t>
      </w:r>
      <w:r w:rsidRPr="00C14188">
        <w:t>HDP</w:t>
      </w:r>
      <w:r>
        <w:t>s</w:t>
      </w:r>
      <w:r w:rsidRPr="00C14188">
        <w:t xml:space="preserve"> </w:t>
      </w:r>
      <w:r w:rsidR="00B00D86" w:rsidRPr="00C14188">
        <w:t xml:space="preserve">between the </w:t>
      </w:r>
      <w:r>
        <w:t xml:space="preserve">HDFs </w:t>
      </w:r>
      <w:r w:rsidR="00B00D86" w:rsidRPr="00C14188">
        <w:t xml:space="preserve">of </w:t>
      </w:r>
      <w:proofErr w:type="spellStart"/>
      <w:r>
        <w:t>spAD</w:t>
      </w:r>
      <w:proofErr w:type="spellEnd"/>
      <w:r w:rsidR="00B00D86" w:rsidRPr="00C14188">
        <w:t xml:space="preserve">, </w:t>
      </w:r>
      <w:r w:rsidRPr="00C14188">
        <w:t>CJD-MM1</w:t>
      </w:r>
      <w:r w:rsidR="00B00D86" w:rsidRPr="00C14188">
        <w:t xml:space="preserve">, </w:t>
      </w:r>
      <w:r w:rsidRPr="00C14188">
        <w:t xml:space="preserve">CJD-VV2 </w:t>
      </w:r>
      <w:r w:rsidR="00B00D86" w:rsidRPr="00C14188">
        <w:t xml:space="preserve">and </w:t>
      </w:r>
      <w:r w:rsidRPr="00C14188">
        <w:t>CJD-MM2</w:t>
      </w:r>
      <w:r>
        <w:t xml:space="preserve"> </w:t>
      </w:r>
      <w:r w:rsidR="00B00D86" w:rsidRPr="00C14188">
        <w:t>(</w:t>
      </w:r>
      <w:r w:rsidR="00B00D86" w:rsidRPr="00B00D86">
        <w:rPr>
          <w:b/>
        </w:rPr>
        <w:t>additional file 7</w:t>
      </w:r>
      <w:r w:rsidR="00B00D86" w:rsidRPr="00C14188">
        <w:t>)</w:t>
      </w:r>
      <w:r w:rsidR="00D04CCB" w:rsidRPr="00C14188">
        <w:t xml:space="preserve">. </w:t>
      </w:r>
    </w:p>
    <w:p w14:paraId="20875D5C" w14:textId="15A962E4" w:rsidR="006F3509" w:rsidRDefault="00D04CCB" w:rsidP="00336740">
      <w:pPr>
        <w:spacing w:line="480" w:lineRule="auto"/>
        <w:rPr>
          <w:color w:val="000000"/>
        </w:rPr>
      </w:pPr>
      <w:r w:rsidRPr="00B00D86">
        <w:rPr>
          <w:color w:val="000000"/>
        </w:rPr>
        <w:t xml:space="preserve">Three proteins including calmodulin-like protein 5, </w:t>
      </w:r>
      <w:proofErr w:type="spellStart"/>
      <w:r w:rsidRPr="00B00D86">
        <w:rPr>
          <w:color w:val="000000"/>
        </w:rPr>
        <w:t>endoplasmin</w:t>
      </w:r>
      <w:proofErr w:type="spellEnd"/>
      <w:r w:rsidRPr="00B00D86">
        <w:rPr>
          <w:color w:val="000000"/>
        </w:rPr>
        <w:t xml:space="preserve"> and malate dehydrogenase, mitochondrial, were found in the HDFs of </w:t>
      </w:r>
      <w:proofErr w:type="spellStart"/>
      <w:r w:rsidRPr="00B00D86">
        <w:rPr>
          <w:color w:val="000000"/>
        </w:rPr>
        <w:t>spAD</w:t>
      </w:r>
      <w:proofErr w:type="spellEnd"/>
      <w:r w:rsidRPr="00B00D86">
        <w:rPr>
          <w:color w:val="000000"/>
        </w:rPr>
        <w:t>, CJD-MM1 and CJD-MM2. Three HDP-interactors, antileukoproteinase, amyloid precursor proteins and 14-3-3E were found in the HDFs from sCJD-MM1 and sCJD-MM2 subtypes (</w:t>
      </w:r>
      <w:r w:rsidRPr="00B00D86">
        <w:rPr>
          <w:color w:val="000000"/>
        </w:rPr>
        <w:fldChar w:fldCharType="begin"/>
      </w:r>
      <w:r w:rsidRPr="00B00D86">
        <w:rPr>
          <w:color w:val="000000"/>
        </w:rPr>
        <w:instrText xml:space="preserve"> REF _Ref518039144 \h  \* MERGEFORMAT </w:instrText>
      </w:r>
      <w:r w:rsidRPr="00B00D86">
        <w:rPr>
          <w:color w:val="000000"/>
        </w:rPr>
      </w:r>
      <w:r w:rsidRPr="00B00D86">
        <w:rPr>
          <w:color w:val="000000"/>
        </w:rPr>
        <w:fldChar w:fldCharType="separate"/>
      </w:r>
      <w:r w:rsidR="00C14188" w:rsidRPr="00B00D86">
        <w:rPr>
          <w:color w:val="000000"/>
        </w:rPr>
        <w:t>Suppl. figure 3</w:t>
      </w:r>
      <w:r w:rsidRPr="00B00D86">
        <w:rPr>
          <w:color w:val="000000"/>
        </w:rPr>
        <w:fldChar w:fldCharType="end"/>
      </w:r>
      <w:r w:rsidRPr="00B00D86">
        <w:rPr>
          <w:color w:val="000000"/>
        </w:rPr>
        <w:t xml:space="preserve">). The high density </w:t>
      </w:r>
      <w:proofErr w:type="spellStart"/>
      <w:r w:rsidRPr="00B00D86">
        <w:rPr>
          <w:color w:val="000000"/>
        </w:rPr>
        <w:t>PrP</w:t>
      </w:r>
      <w:proofErr w:type="spellEnd"/>
      <w:r w:rsidRPr="00B00D86">
        <w:rPr>
          <w:color w:val="000000"/>
        </w:rPr>
        <w:t xml:space="preserve"> interactors commonly expressed in all </w:t>
      </w:r>
      <w:proofErr w:type="spellStart"/>
      <w:r w:rsidRPr="00B00D86">
        <w:rPr>
          <w:color w:val="000000"/>
        </w:rPr>
        <w:t>sCJD</w:t>
      </w:r>
      <w:proofErr w:type="spellEnd"/>
      <w:r w:rsidRPr="00B00D86">
        <w:rPr>
          <w:color w:val="000000"/>
        </w:rPr>
        <w:t>-subtypes are listed below along-with their disease relevance, and corresponding HDFs (</w:t>
      </w:r>
      <w:r w:rsidRPr="00B00D86">
        <w:rPr>
          <w:color w:val="000000"/>
        </w:rPr>
        <w:fldChar w:fldCharType="begin"/>
      </w:r>
      <w:r w:rsidRPr="00B00D86">
        <w:rPr>
          <w:color w:val="000000"/>
        </w:rPr>
        <w:instrText xml:space="preserve"> REF _Ref518048894 \h  \* MERGEFORMAT </w:instrText>
      </w:r>
      <w:r w:rsidRPr="00B00D86">
        <w:rPr>
          <w:color w:val="000000"/>
        </w:rPr>
      </w:r>
      <w:r w:rsidRPr="00B00D86">
        <w:rPr>
          <w:color w:val="000000"/>
        </w:rPr>
        <w:fldChar w:fldCharType="separate"/>
      </w:r>
      <w:r w:rsidR="00C14188" w:rsidRPr="00B00D86">
        <w:rPr>
          <w:color w:val="000000"/>
        </w:rPr>
        <w:t>Suppl. table 3</w:t>
      </w:r>
      <w:r w:rsidRPr="00B00D86">
        <w:rPr>
          <w:color w:val="000000"/>
        </w:rPr>
        <w:fldChar w:fldCharType="end"/>
      </w:r>
      <w:r w:rsidRPr="00B00D86">
        <w:rPr>
          <w:color w:val="000000"/>
        </w:rPr>
        <w:t>).</w:t>
      </w:r>
    </w:p>
    <w:p w14:paraId="246018F0" w14:textId="2472C799" w:rsidR="00D04CCB" w:rsidRPr="00B00D86" w:rsidRDefault="006F3509" w:rsidP="006F3509">
      <w:pPr>
        <w:spacing w:before="0" w:beforeAutospacing="0" w:after="0" w:afterAutospacing="0"/>
        <w:jc w:val="left"/>
        <w:rPr>
          <w:color w:val="000000"/>
        </w:rPr>
      </w:pPr>
      <w:r>
        <w:rPr>
          <w:color w:val="000000"/>
        </w:rPr>
        <w:br w:type="page"/>
      </w:r>
    </w:p>
    <w:p w14:paraId="20875D5D" w14:textId="5D938DAE" w:rsidR="00D04CCB" w:rsidRDefault="00490A7C" w:rsidP="00D04CCB">
      <w:pPr>
        <w:pStyle w:val="Caption"/>
      </w:pPr>
      <w:bookmarkStart w:id="12" w:name="_Ref518048894"/>
      <w:bookmarkStart w:id="13" w:name="_Toc518535942"/>
      <w:bookmarkStart w:id="14" w:name="_Toc518536025"/>
      <w:bookmarkStart w:id="15" w:name="_Toc527532791"/>
      <w:r w:rsidRPr="00C14188">
        <w:lastRenderedPageBreak/>
        <w:t xml:space="preserve">Suppl. table </w:t>
      </w:r>
      <w:r w:rsidR="00D04CCB" w:rsidRPr="00C14188">
        <w:rPr>
          <w:noProof/>
        </w:rPr>
        <w:fldChar w:fldCharType="begin"/>
      </w:r>
      <w:r w:rsidR="00D04CCB" w:rsidRPr="00C14188">
        <w:rPr>
          <w:noProof/>
        </w:rPr>
        <w:instrText xml:space="preserve"> SEQ Table \* ARABIC </w:instrText>
      </w:r>
      <w:r w:rsidR="00D04CCB" w:rsidRPr="00C14188">
        <w:rPr>
          <w:noProof/>
        </w:rPr>
        <w:fldChar w:fldCharType="separate"/>
      </w:r>
      <w:r w:rsidR="00C14188">
        <w:rPr>
          <w:noProof/>
        </w:rPr>
        <w:t>3</w:t>
      </w:r>
      <w:r w:rsidR="00D04CCB" w:rsidRPr="00C14188">
        <w:rPr>
          <w:noProof/>
        </w:rPr>
        <w:fldChar w:fldCharType="end"/>
      </w:r>
      <w:bookmarkEnd w:id="12"/>
      <w:r w:rsidR="00D04CCB" w:rsidRPr="00C14188">
        <w:t xml:space="preserve">: </w:t>
      </w:r>
      <w:r w:rsidR="00C53804" w:rsidRPr="00C14188">
        <w:t>High-density</w:t>
      </w:r>
      <w:r w:rsidR="00D04CCB" w:rsidRPr="00C14188">
        <w:t xml:space="preserve"> </w:t>
      </w:r>
      <w:proofErr w:type="spellStart"/>
      <w:r w:rsidR="00D04CCB" w:rsidRPr="00C14188">
        <w:t>PrP</w:t>
      </w:r>
      <w:proofErr w:type="spellEnd"/>
      <w:r w:rsidR="00D04CCB" w:rsidRPr="00C14188">
        <w:t xml:space="preserve"> (HDP) interactors commonly found in the HDFs of </w:t>
      </w:r>
      <w:r w:rsidR="00F92195">
        <w:t xml:space="preserve">all </w:t>
      </w:r>
      <w:proofErr w:type="spellStart"/>
      <w:r w:rsidR="00D04CCB" w:rsidRPr="00C14188">
        <w:t>sCJD</w:t>
      </w:r>
      <w:proofErr w:type="spellEnd"/>
      <w:r w:rsidR="00F92195">
        <w:t xml:space="preserve"> </w:t>
      </w:r>
      <w:r w:rsidR="00D04CCB" w:rsidRPr="00C14188">
        <w:t>subtypes.</w:t>
      </w:r>
      <w:bookmarkEnd w:id="13"/>
      <w:bookmarkEnd w:id="14"/>
      <w:bookmarkEnd w:id="15"/>
    </w:p>
    <w:tbl>
      <w:tblPr>
        <w:tblW w:w="5000" w:type="pct"/>
        <w:jc w:val="center"/>
        <w:tblBorders>
          <w:top w:val="single" w:sz="4" w:space="0" w:color="7F7F7F"/>
          <w:bottom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984"/>
        <w:gridCol w:w="1307"/>
        <w:gridCol w:w="1396"/>
        <w:gridCol w:w="1275"/>
        <w:gridCol w:w="1417"/>
        <w:gridCol w:w="2177"/>
      </w:tblGrid>
      <w:tr w:rsidR="00A12823" w:rsidRPr="00A12823" w14:paraId="20875D65" w14:textId="77777777" w:rsidTr="008D5F35">
        <w:trPr>
          <w:trHeight w:val="701"/>
          <w:jc w:val="center"/>
        </w:trPr>
        <w:tc>
          <w:tcPr>
            <w:tcW w:w="452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</w:tcPr>
          <w:p w14:paraId="20875D5E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Gene IDs</w:t>
            </w: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</w:tcPr>
          <w:p w14:paraId="20875D5F" w14:textId="11B59F0C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Unipro</w:t>
            </w:r>
            <w:r w:rsidR="008D5F3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</w:t>
            </w:r>
            <w:proofErr w:type="spellEnd"/>
            <w:r w:rsidR="008D5F3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Acc. No.</w:t>
            </w:r>
          </w:p>
        </w:tc>
        <w:tc>
          <w:tcPr>
            <w:tcW w:w="695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</w:tcPr>
          <w:p w14:paraId="20875D60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Identified Proteins</w:t>
            </w:r>
          </w:p>
        </w:tc>
        <w:tc>
          <w:tcPr>
            <w:tcW w:w="742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</w:tcPr>
          <w:p w14:paraId="20875D61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Subcellular location</w:t>
            </w:r>
          </w:p>
        </w:tc>
        <w:tc>
          <w:tcPr>
            <w:tcW w:w="678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</w:tcPr>
          <w:p w14:paraId="20875D62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Prion protein-interaction</w:t>
            </w:r>
          </w:p>
        </w:tc>
        <w:tc>
          <w:tcPr>
            <w:tcW w:w="753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</w:tcPr>
          <w:p w14:paraId="20875D63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Involvement in disease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</w:tcPr>
          <w:p w14:paraId="20875D64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HDFs-Occurrence </w:t>
            </w:r>
          </w:p>
        </w:tc>
      </w:tr>
      <w:tr w:rsidR="00A12823" w:rsidRPr="00A12823" w14:paraId="20875D6F" w14:textId="77777777" w:rsidTr="008D5F35">
        <w:trPr>
          <w:trHeight w:val="701"/>
          <w:jc w:val="center"/>
        </w:trPr>
        <w:tc>
          <w:tcPr>
            <w:tcW w:w="452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66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TPP1</w:t>
            </w: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67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O14773</w:t>
            </w:r>
          </w:p>
        </w:tc>
        <w:tc>
          <w:tcPr>
            <w:tcW w:w="695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68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Tripeptidyl-peptidase 1 </w:t>
            </w:r>
          </w:p>
        </w:tc>
        <w:tc>
          <w:tcPr>
            <w:tcW w:w="742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69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Ly</w:t>
            </w:r>
          </w:p>
        </w:tc>
        <w:tc>
          <w:tcPr>
            <w:tcW w:w="678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6A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6B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Ceroid lipofuscinosis, neuronal, 2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[38]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6C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sCJD-MM1:F12 toF14, </w:t>
            </w:r>
          </w:p>
          <w:p w14:paraId="20875D6D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sCJD-MM2:F12 toF14, F16, F17</w:t>
            </w:r>
          </w:p>
          <w:p w14:paraId="20875D6E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sCJD-VV2:F14</w:t>
            </w:r>
          </w:p>
        </w:tc>
      </w:tr>
      <w:tr w:rsidR="00A12823" w:rsidRPr="00A12823" w14:paraId="20875D79" w14:textId="77777777" w:rsidTr="008D5F35">
        <w:trPr>
          <w:trHeight w:val="472"/>
          <w:jc w:val="center"/>
        </w:trPr>
        <w:tc>
          <w:tcPr>
            <w:tcW w:w="452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70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FRIH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71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P02794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72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Ferritin heavy chain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73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74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Known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[25]</w:t>
            </w:r>
          </w:p>
        </w:tc>
        <w:tc>
          <w:tcPr>
            <w:tcW w:w="753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75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Creutzfeldt-Jakob-disease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[25]</w:t>
            </w:r>
            <w:r w:rsidRPr="00A12823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7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76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sCJD-MM1:F12 toF14, </w:t>
            </w:r>
          </w:p>
          <w:p w14:paraId="20875D77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sCJD-MM2:F12, F13,</w:t>
            </w:r>
          </w:p>
          <w:p w14:paraId="20875D78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sCJD-VV2:F12, F13</w:t>
            </w:r>
          </w:p>
        </w:tc>
      </w:tr>
      <w:tr w:rsidR="00A12823" w:rsidRPr="00A12823" w14:paraId="20875D83" w14:textId="77777777" w:rsidTr="008D5F35">
        <w:trPr>
          <w:trHeight w:val="687"/>
          <w:jc w:val="center"/>
        </w:trPr>
        <w:tc>
          <w:tcPr>
            <w:tcW w:w="452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7A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EPDR1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7B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Q9UM22</w:t>
            </w:r>
          </w:p>
        </w:tc>
        <w:tc>
          <w:tcPr>
            <w:tcW w:w="695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7C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Mammalian </w:t>
            </w:r>
            <w:proofErr w:type="spellStart"/>
            <w:r w:rsidRPr="00A12823">
              <w:rPr>
                <w:rFonts w:eastAsia="Times New Roman"/>
                <w:color w:val="000000"/>
                <w:sz w:val="20"/>
                <w:szCs w:val="20"/>
              </w:rPr>
              <w:t>ependymin</w:t>
            </w:r>
            <w:proofErr w:type="spellEnd"/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-related protein 1 </w:t>
            </w:r>
          </w:p>
        </w:tc>
        <w:tc>
          <w:tcPr>
            <w:tcW w:w="742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7D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 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7E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7F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80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sCJD-MM1:F13 to F16, </w:t>
            </w:r>
          </w:p>
          <w:p w14:paraId="20875D81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sCJD-MM2:F13 toF16, F17, </w:t>
            </w:r>
          </w:p>
          <w:p w14:paraId="20875D82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sCJD-VV2:F12, F14, F15</w:t>
            </w:r>
          </w:p>
        </w:tc>
      </w:tr>
      <w:tr w:rsidR="00A12823" w:rsidRPr="00A12823" w14:paraId="20875D8C" w14:textId="77777777" w:rsidTr="008D5F35">
        <w:trPr>
          <w:trHeight w:val="701"/>
          <w:jc w:val="center"/>
        </w:trPr>
        <w:tc>
          <w:tcPr>
            <w:tcW w:w="452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84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PPT1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85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P50897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86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Palmitoyl-protein </w:t>
            </w:r>
            <w:proofErr w:type="spellStart"/>
            <w:r w:rsidRPr="00A12823">
              <w:rPr>
                <w:rFonts w:eastAsia="Times New Roman"/>
                <w:color w:val="000000"/>
                <w:sz w:val="20"/>
                <w:szCs w:val="20"/>
              </w:rPr>
              <w:t>thioesterase</w:t>
            </w:r>
            <w:proofErr w:type="spellEnd"/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87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Ly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88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89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Ceroid lipofuscinosis, neuronal, 1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[43]</w:t>
            </w:r>
          </w:p>
        </w:tc>
        <w:tc>
          <w:tcPr>
            <w:tcW w:w="1157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8A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sCJD-MM1:F13 toF16, sCJD-MM2:F12 toF15,</w:t>
            </w:r>
          </w:p>
          <w:p w14:paraId="20875D8B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sCJD-VV2:F12</w:t>
            </w:r>
          </w:p>
        </w:tc>
      </w:tr>
      <w:tr w:rsidR="00A12823" w:rsidRPr="00A12823" w14:paraId="20875D96" w14:textId="77777777" w:rsidTr="008D5F35">
        <w:trPr>
          <w:trHeight w:val="1159"/>
          <w:jc w:val="center"/>
        </w:trPr>
        <w:tc>
          <w:tcPr>
            <w:tcW w:w="452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8D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SYN1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8E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P17600</w:t>
            </w:r>
          </w:p>
        </w:tc>
        <w:tc>
          <w:tcPr>
            <w:tcW w:w="695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8F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Synapsin-1</w:t>
            </w:r>
          </w:p>
        </w:tc>
        <w:tc>
          <w:tcPr>
            <w:tcW w:w="742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90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A12823">
              <w:rPr>
                <w:rFonts w:eastAsia="Times New Roman"/>
                <w:color w:val="000000"/>
                <w:sz w:val="20"/>
                <w:szCs w:val="20"/>
              </w:rPr>
              <w:t>Cj</w:t>
            </w:r>
            <w:proofErr w:type="spellEnd"/>
            <w:r w:rsidRPr="00A12823">
              <w:rPr>
                <w:rFonts w:eastAsia="Times New Roman"/>
                <w:color w:val="000000"/>
                <w:sz w:val="20"/>
                <w:szCs w:val="20"/>
              </w:rPr>
              <w:t>, Sy. Ga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91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Known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[39]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92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Epilepsy X-linked, with variable learning disabilities and behavior disorders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[38]</w:t>
            </w:r>
          </w:p>
        </w:tc>
        <w:tc>
          <w:tcPr>
            <w:tcW w:w="1157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93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sCJD-MM1:F12, F16, F17, </w:t>
            </w:r>
          </w:p>
          <w:p w14:paraId="20875D94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sCJD-MM2:F13, F14, F16, F17, </w:t>
            </w:r>
          </w:p>
          <w:p w14:paraId="20875D95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sCJD-VV2:F14 to F17</w:t>
            </w:r>
          </w:p>
        </w:tc>
      </w:tr>
      <w:tr w:rsidR="00A12823" w:rsidRPr="00A12823" w14:paraId="20875DA0" w14:textId="77777777" w:rsidTr="008D5F35">
        <w:trPr>
          <w:trHeight w:val="458"/>
          <w:jc w:val="center"/>
        </w:trPr>
        <w:tc>
          <w:tcPr>
            <w:tcW w:w="452" w:type="pct"/>
            <w:shd w:val="clear" w:color="auto" w:fill="auto"/>
            <w:hideMark/>
          </w:tcPr>
          <w:p w14:paraId="20875D97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SYN2</w:t>
            </w:r>
          </w:p>
        </w:tc>
        <w:tc>
          <w:tcPr>
            <w:tcW w:w="523" w:type="pct"/>
            <w:shd w:val="clear" w:color="auto" w:fill="auto"/>
            <w:hideMark/>
          </w:tcPr>
          <w:p w14:paraId="20875D98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Q92777</w:t>
            </w:r>
          </w:p>
        </w:tc>
        <w:tc>
          <w:tcPr>
            <w:tcW w:w="695" w:type="pct"/>
            <w:shd w:val="clear" w:color="auto" w:fill="auto"/>
            <w:hideMark/>
          </w:tcPr>
          <w:p w14:paraId="20875D99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Synapsin-2 </w:t>
            </w:r>
          </w:p>
        </w:tc>
        <w:tc>
          <w:tcPr>
            <w:tcW w:w="742" w:type="pct"/>
            <w:shd w:val="clear" w:color="auto" w:fill="auto"/>
            <w:hideMark/>
          </w:tcPr>
          <w:p w14:paraId="20875D9A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A12823">
              <w:rPr>
                <w:rFonts w:eastAsia="Times New Roman"/>
                <w:color w:val="000000"/>
                <w:sz w:val="20"/>
                <w:szCs w:val="20"/>
              </w:rPr>
              <w:t>Cj</w:t>
            </w:r>
            <w:proofErr w:type="spellEnd"/>
            <w:r w:rsidRPr="00A12823">
              <w:rPr>
                <w:rFonts w:eastAsia="Times New Roman"/>
                <w:color w:val="000000"/>
                <w:sz w:val="20"/>
                <w:szCs w:val="20"/>
              </w:rPr>
              <w:t>, Sy.</w:t>
            </w:r>
          </w:p>
        </w:tc>
        <w:tc>
          <w:tcPr>
            <w:tcW w:w="678" w:type="pct"/>
            <w:shd w:val="clear" w:color="auto" w:fill="auto"/>
            <w:hideMark/>
          </w:tcPr>
          <w:p w14:paraId="20875D9B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shd w:val="clear" w:color="auto" w:fill="auto"/>
            <w:hideMark/>
          </w:tcPr>
          <w:p w14:paraId="20875D9C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Schizophrenia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[38]</w:t>
            </w:r>
          </w:p>
        </w:tc>
        <w:tc>
          <w:tcPr>
            <w:tcW w:w="1157" w:type="pct"/>
            <w:shd w:val="clear" w:color="auto" w:fill="auto"/>
            <w:hideMark/>
          </w:tcPr>
          <w:p w14:paraId="20875D9D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sCJD-MM1:F16, F17</w:t>
            </w:r>
          </w:p>
          <w:p w14:paraId="20875D9E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sCJD-MM2:F14, F16, F17</w:t>
            </w:r>
          </w:p>
          <w:p w14:paraId="20875D9F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sCJD-VV2:F15 toF17</w:t>
            </w:r>
          </w:p>
        </w:tc>
      </w:tr>
      <w:tr w:rsidR="00A12823" w:rsidRPr="00A12823" w14:paraId="20875DAA" w14:textId="77777777" w:rsidTr="008D5F35">
        <w:trPr>
          <w:trHeight w:val="701"/>
          <w:jc w:val="center"/>
        </w:trPr>
        <w:tc>
          <w:tcPr>
            <w:tcW w:w="4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A1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PACN1</w:t>
            </w:r>
          </w:p>
        </w:tc>
        <w:tc>
          <w:tcPr>
            <w:tcW w:w="523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A2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Q9BY11</w:t>
            </w:r>
          </w:p>
        </w:tc>
        <w:tc>
          <w:tcPr>
            <w:tcW w:w="695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A3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Protein kinase C and casein kinase substrate in neurons protein 1 </w:t>
            </w:r>
          </w:p>
        </w:tc>
        <w:tc>
          <w:tcPr>
            <w:tcW w:w="74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A4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Cy, Cp, </w:t>
            </w:r>
            <w:proofErr w:type="spellStart"/>
            <w:r w:rsidRPr="00A12823">
              <w:rPr>
                <w:rFonts w:eastAsia="Times New Roman"/>
                <w:color w:val="000000"/>
                <w:sz w:val="20"/>
                <w:szCs w:val="20"/>
              </w:rPr>
              <w:t>Cj</w:t>
            </w:r>
            <w:proofErr w:type="spellEnd"/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, Sy, </w:t>
            </w:r>
            <w:proofErr w:type="spellStart"/>
            <w:r w:rsidRPr="00A12823">
              <w:rPr>
                <w:rFonts w:eastAsia="Times New Roman"/>
                <w:color w:val="000000"/>
                <w:sz w:val="20"/>
                <w:szCs w:val="20"/>
              </w:rPr>
              <w:t>Syo</w:t>
            </w:r>
            <w:proofErr w:type="spellEnd"/>
            <w:r w:rsidRPr="00A12823">
              <w:rPr>
                <w:rFonts w:eastAsia="Times New Roman"/>
                <w:color w:val="000000"/>
                <w:sz w:val="20"/>
                <w:szCs w:val="20"/>
              </w:rPr>
              <w:t>, Cp,</w:t>
            </w:r>
          </w:p>
        </w:tc>
        <w:tc>
          <w:tcPr>
            <w:tcW w:w="678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A5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A6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A7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sCJD-MM1:F17</w:t>
            </w:r>
          </w:p>
          <w:p w14:paraId="20875DA8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sCJD-MM2:F16, F17,</w:t>
            </w:r>
          </w:p>
          <w:p w14:paraId="20875DA9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sCJD-VV2:F15, F17</w:t>
            </w:r>
          </w:p>
        </w:tc>
      </w:tr>
      <w:tr w:rsidR="00A12823" w:rsidRPr="00A12823" w14:paraId="20875DB4" w14:textId="77777777" w:rsidTr="008D5F35">
        <w:trPr>
          <w:trHeight w:val="472"/>
          <w:jc w:val="center"/>
        </w:trPr>
        <w:tc>
          <w:tcPr>
            <w:tcW w:w="452" w:type="pct"/>
            <w:shd w:val="clear" w:color="auto" w:fill="auto"/>
            <w:hideMark/>
          </w:tcPr>
          <w:p w14:paraId="20875DAB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COF1</w:t>
            </w:r>
          </w:p>
        </w:tc>
        <w:tc>
          <w:tcPr>
            <w:tcW w:w="523" w:type="pct"/>
            <w:shd w:val="clear" w:color="auto" w:fill="auto"/>
            <w:hideMark/>
          </w:tcPr>
          <w:p w14:paraId="20875DAC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P23528</w:t>
            </w:r>
          </w:p>
        </w:tc>
        <w:tc>
          <w:tcPr>
            <w:tcW w:w="695" w:type="pct"/>
            <w:shd w:val="clear" w:color="auto" w:fill="auto"/>
            <w:hideMark/>
          </w:tcPr>
          <w:p w14:paraId="20875DAD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Cofilin-1</w:t>
            </w:r>
          </w:p>
        </w:tc>
        <w:tc>
          <w:tcPr>
            <w:tcW w:w="742" w:type="pct"/>
            <w:shd w:val="clear" w:color="auto" w:fill="auto"/>
            <w:hideMark/>
          </w:tcPr>
          <w:p w14:paraId="20875DAE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Nu, Cy, Ck, Cp</w:t>
            </w:r>
          </w:p>
        </w:tc>
        <w:tc>
          <w:tcPr>
            <w:tcW w:w="678" w:type="pct"/>
            <w:shd w:val="clear" w:color="auto" w:fill="auto"/>
            <w:hideMark/>
          </w:tcPr>
          <w:p w14:paraId="20875DAF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Known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[7]</w:t>
            </w:r>
          </w:p>
        </w:tc>
        <w:tc>
          <w:tcPr>
            <w:tcW w:w="753" w:type="pct"/>
            <w:shd w:val="clear" w:color="auto" w:fill="auto"/>
            <w:hideMark/>
          </w:tcPr>
          <w:p w14:paraId="20875DB0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Creutzfeldt-Jakob-disease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[18]</w:t>
            </w:r>
          </w:p>
        </w:tc>
        <w:tc>
          <w:tcPr>
            <w:tcW w:w="1157" w:type="pct"/>
            <w:shd w:val="clear" w:color="auto" w:fill="auto"/>
            <w:hideMark/>
          </w:tcPr>
          <w:p w14:paraId="20875DB1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sCJD-MM1:F16, F17</w:t>
            </w:r>
          </w:p>
          <w:p w14:paraId="20875DB2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sCJD-MM2:F12, F16, F17, </w:t>
            </w:r>
          </w:p>
          <w:p w14:paraId="20875DB3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sCJD-VV2:F16, F17</w:t>
            </w:r>
          </w:p>
        </w:tc>
      </w:tr>
      <w:tr w:rsidR="00A12823" w:rsidRPr="00A12823" w14:paraId="20875DBE" w14:textId="77777777" w:rsidTr="008D5F35">
        <w:trPr>
          <w:trHeight w:val="701"/>
          <w:jc w:val="center"/>
        </w:trPr>
        <w:tc>
          <w:tcPr>
            <w:tcW w:w="4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B5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CRYM</w:t>
            </w:r>
          </w:p>
        </w:tc>
        <w:tc>
          <w:tcPr>
            <w:tcW w:w="523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B6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Q14894</w:t>
            </w:r>
          </w:p>
        </w:tc>
        <w:tc>
          <w:tcPr>
            <w:tcW w:w="695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B7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A12823">
              <w:rPr>
                <w:rFonts w:eastAsia="Times New Roman"/>
                <w:color w:val="000000"/>
                <w:sz w:val="20"/>
                <w:szCs w:val="20"/>
              </w:rPr>
              <w:t>Ketimine</w:t>
            </w:r>
            <w:proofErr w:type="spellEnd"/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 reductase mu-crystallin </w:t>
            </w:r>
          </w:p>
        </w:tc>
        <w:tc>
          <w:tcPr>
            <w:tcW w:w="74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B8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Cy</w:t>
            </w:r>
          </w:p>
        </w:tc>
        <w:tc>
          <w:tcPr>
            <w:tcW w:w="678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B9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BA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Autosomal dominant, 40 deafness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[19]</w:t>
            </w:r>
          </w:p>
        </w:tc>
        <w:tc>
          <w:tcPr>
            <w:tcW w:w="1157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BB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sCJD-MM1:F17, </w:t>
            </w:r>
          </w:p>
          <w:p w14:paraId="20875DBC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sCJD-MM2:F16, F17,</w:t>
            </w:r>
          </w:p>
          <w:p w14:paraId="20875DBD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sCJD-VV2:F16, F17</w:t>
            </w:r>
          </w:p>
        </w:tc>
      </w:tr>
      <w:tr w:rsidR="00A12823" w:rsidRPr="00A12823" w14:paraId="20875DC8" w14:textId="77777777" w:rsidTr="008D5F35">
        <w:trPr>
          <w:trHeight w:val="458"/>
          <w:jc w:val="center"/>
        </w:trPr>
        <w:tc>
          <w:tcPr>
            <w:tcW w:w="452" w:type="pct"/>
            <w:shd w:val="clear" w:color="auto" w:fill="auto"/>
            <w:hideMark/>
          </w:tcPr>
          <w:p w14:paraId="20875DBF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NSF</w:t>
            </w:r>
          </w:p>
        </w:tc>
        <w:tc>
          <w:tcPr>
            <w:tcW w:w="523" w:type="pct"/>
            <w:shd w:val="clear" w:color="auto" w:fill="auto"/>
            <w:hideMark/>
          </w:tcPr>
          <w:p w14:paraId="20875DC0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P46459</w:t>
            </w:r>
          </w:p>
        </w:tc>
        <w:tc>
          <w:tcPr>
            <w:tcW w:w="695" w:type="pct"/>
            <w:shd w:val="clear" w:color="auto" w:fill="auto"/>
            <w:hideMark/>
          </w:tcPr>
          <w:p w14:paraId="20875DC1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Vesicle-fusing ATPase</w:t>
            </w:r>
          </w:p>
        </w:tc>
        <w:tc>
          <w:tcPr>
            <w:tcW w:w="742" w:type="pct"/>
            <w:shd w:val="clear" w:color="auto" w:fill="auto"/>
            <w:hideMark/>
          </w:tcPr>
          <w:p w14:paraId="20875DC2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Cy</w:t>
            </w:r>
          </w:p>
        </w:tc>
        <w:tc>
          <w:tcPr>
            <w:tcW w:w="678" w:type="pct"/>
            <w:shd w:val="clear" w:color="auto" w:fill="auto"/>
            <w:hideMark/>
          </w:tcPr>
          <w:p w14:paraId="20875DC3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shd w:val="clear" w:color="auto" w:fill="auto"/>
            <w:hideMark/>
          </w:tcPr>
          <w:p w14:paraId="20875DC4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shd w:val="clear" w:color="auto" w:fill="auto"/>
            <w:hideMark/>
          </w:tcPr>
          <w:p w14:paraId="20875DC5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sCJD-MM1:F17, </w:t>
            </w:r>
          </w:p>
          <w:p w14:paraId="20875DC6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sCJD-MM2:F16, F17, </w:t>
            </w:r>
          </w:p>
          <w:p w14:paraId="20875DC7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sCJD-VV2:F16, F17</w:t>
            </w:r>
          </w:p>
        </w:tc>
      </w:tr>
      <w:tr w:rsidR="00A12823" w:rsidRPr="00A12823" w14:paraId="20875DD2" w14:textId="77777777" w:rsidTr="008D5F35">
        <w:trPr>
          <w:trHeight w:val="472"/>
          <w:jc w:val="center"/>
        </w:trPr>
        <w:tc>
          <w:tcPr>
            <w:tcW w:w="4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C9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COF2</w:t>
            </w:r>
          </w:p>
        </w:tc>
        <w:tc>
          <w:tcPr>
            <w:tcW w:w="523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CA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Q9Y281</w:t>
            </w:r>
          </w:p>
        </w:tc>
        <w:tc>
          <w:tcPr>
            <w:tcW w:w="695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CB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Cofilin-2</w:t>
            </w:r>
          </w:p>
        </w:tc>
        <w:tc>
          <w:tcPr>
            <w:tcW w:w="74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CC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Nu </w:t>
            </w:r>
            <w:proofErr w:type="gramStart"/>
            <w:r w:rsidRPr="00A12823">
              <w:rPr>
                <w:rFonts w:eastAsia="Times New Roman"/>
                <w:color w:val="000000"/>
                <w:sz w:val="20"/>
                <w:szCs w:val="20"/>
              </w:rPr>
              <w:t>matrix  cy</w:t>
            </w:r>
            <w:proofErr w:type="gramEnd"/>
            <w:r w:rsidRPr="00A12823">
              <w:rPr>
                <w:rFonts w:eastAsia="Times New Roman"/>
                <w:color w:val="000000"/>
                <w:sz w:val="20"/>
                <w:szCs w:val="20"/>
              </w:rPr>
              <w:t>, Ck</w:t>
            </w:r>
          </w:p>
        </w:tc>
        <w:tc>
          <w:tcPr>
            <w:tcW w:w="678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CD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CE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CF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sCJD-MM1:F16, F17, </w:t>
            </w:r>
          </w:p>
          <w:p w14:paraId="20875DD0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sCJD-MM2:F12, F16, F17, </w:t>
            </w:r>
          </w:p>
          <w:p w14:paraId="20875DD1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sCJD-VV2:F15, F17</w:t>
            </w:r>
          </w:p>
        </w:tc>
      </w:tr>
      <w:tr w:rsidR="00A12823" w:rsidRPr="00A12823" w14:paraId="20875DDC" w14:textId="77777777" w:rsidTr="008D5F35">
        <w:trPr>
          <w:trHeight w:val="930"/>
          <w:jc w:val="center"/>
        </w:trPr>
        <w:tc>
          <w:tcPr>
            <w:tcW w:w="452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D3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IDH3A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D4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P50213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D5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Isocitrate dehydrogenase [NAD] subunit alpha, mitochondrial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D6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Mc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D7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D8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Alzheimer’s disease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[29]</w:t>
            </w:r>
          </w:p>
        </w:tc>
        <w:tc>
          <w:tcPr>
            <w:tcW w:w="1157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0875DD9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sCJD-MM1:F17</w:t>
            </w:r>
          </w:p>
          <w:p w14:paraId="20875DDA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sCJD-MM2:F12, F16, F17</w:t>
            </w:r>
          </w:p>
          <w:p w14:paraId="20875DDB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sCJD-VV2:F16, F17</w:t>
            </w:r>
          </w:p>
        </w:tc>
      </w:tr>
      <w:tr w:rsidR="00A12823" w:rsidRPr="00A12823" w14:paraId="20875DE6" w14:textId="77777777" w:rsidTr="008D5F35">
        <w:trPr>
          <w:trHeight w:val="458"/>
          <w:jc w:val="center"/>
        </w:trPr>
        <w:tc>
          <w:tcPr>
            <w:tcW w:w="452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DD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PROF2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DE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P35080</w:t>
            </w:r>
          </w:p>
        </w:tc>
        <w:tc>
          <w:tcPr>
            <w:tcW w:w="695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DF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Profilin-2</w:t>
            </w:r>
          </w:p>
        </w:tc>
        <w:tc>
          <w:tcPr>
            <w:tcW w:w="742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E0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Cy, Ck.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E1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E2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Creutzfeldt-Jakob-disease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[30]</w:t>
            </w:r>
          </w:p>
        </w:tc>
        <w:tc>
          <w:tcPr>
            <w:tcW w:w="1157" w:type="pct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  <w:hideMark/>
          </w:tcPr>
          <w:p w14:paraId="20875DE3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sCJD-MM1:F17,</w:t>
            </w:r>
          </w:p>
          <w:p w14:paraId="20875DE4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sCJD-MM2:F17,</w:t>
            </w:r>
          </w:p>
          <w:p w14:paraId="20875DE5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sCJD-VV2:F16, F17</w:t>
            </w:r>
          </w:p>
        </w:tc>
      </w:tr>
      <w:tr w:rsidR="00A12823" w:rsidRPr="00A12823" w14:paraId="20875DF0" w14:textId="77777777" w:rsidTr="008D5F35">
        <w:trPr>
          <w:trHeight w:val="472"/>
          <w:jc w:val="center"/>
        </w:trPr>
        <w:tc>
          <w:tcPr>
            <w:tcW w:w="452" w:type="pct"/>
            <w:shd w:val="clear" w:color="auto" w:fill="auto"/>
            <w:hideMark/>
          </w:tcPr>
          <w:p w14:paraId="20875DE7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NFL</w:t>
            </w:r>
          </w:p>
        </w:tc>
        <w:tc>
          <w:tcPr>
            <w:tcW w:w="523" w:type="pct"/>
            <w:shd w:val="clear" w:color="auto" w:fill="auto"/>
            <w:hideMark/>
          </w:tcPr>
          <w:p w14:paraId="20875DE8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P07196</w:t>
            </w:r>
          </w:p>
        </w:tc>
        <w:tc>
          <w:tcPr>
            <w:tcW w:w="695" w:type="pct"/>
            <w:shd w:val="clear" w:color="auto" w:fill="auto"/>
            <w:hideMark/>
          </w:tcPr>
          <w:p w14:paraId="20875DE9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Neurofilament light polypeptide (NF-L)</w:t>
            </w:r>
          </w:p>
        </w:tc>
        <w:tc>
          <w:tcPr>
            <w:tcW w:w="742" w:type="pct"/>
            <w:shd w:val="clear" w:color="auto" w:fill="auto"/>
            <w:hideMark/>
          </w:tcPr>
          <w:p w14:paraId="20875DEA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shd w:val="clear" w:color="auto" w:fill="auto"/>
            <w:hideMark/>
          </w:tcPr>
          <w:p w14:paraId="20875DEB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shd w:val="clear" w:color="auto" w:fill="auto"/>
            <w:hideMark/>
          </w:tcPr>
          <w:p w14:paraId="20875DEC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Prion diseases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[33]</w:t>
            </w: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, familial Alzheimer’s disease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[34]</w:t>
            </w:r>
          </w:p>
        </w:tc>
        <w:tc>
          <w:tcPr>
            <w:tcW w:w="1157" w:type="pct"/>
            <w:shd w:val="clear" w:color="auto" w:fill="auto"/>
            <w:hideMark/>
          </w:tcPr>
          <w:p w14:paraId="20875DED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sCJD-MM1:F17</w:t>
            </w:r>
          </w:p>
          <w:p w14:paraId="20875DEE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sCJD-MM2:F17,</w:t>
            </w:r>
          </w:p>
          <w:p w14:paraId="20875DEF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sCJD-VV2:F16, 17</w:t>
            </w:r>
          </w:p>
        </w:tc>
      </w:tr>
      <w:tr w:rsidR="00A12823" w:rsidRPr="00A12823" w14:paraId="20875DFA" w14:textId="77777777" w:rsidTr="008D5F35">
        <w:trPr>
          <w:trHeight w:val="930"/>
          <w:jc w:val="center"/>
        </w:trPr>
        <w:tc>
          <w:tcPr>
            <w:tcW w:w="4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F1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KCC2G</w:t>
            </w:r>
          </w:p>
        </w:tc>
        <w:tc>
          <w:tcPr>
            <w:tcW w:w="523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F2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Q13555</w:t>
            </w:r>
          </w:p>
        </w:tc>
        <w:tc>
          <w:tcPr>
            <w:tcW w:w="695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F3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Calcium/calmodulin-dependent protein kinase type II subunit gamma </w:t>
            </w:r>
          </w:p>
        </w:tc>
        <w:tc>
          <w:tcPr>
            <w:tcW w:w="74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F4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Sr membrane</w:t>
            </w:r>
          </w:p>
        </w:tc>
        <w:tc>
          <w:tcPr>
            <w:tcW w:w="678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F5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F6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Alzheimer’s disease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[29]</w:t>
            </w:r>
          </w:p>
        </w:tc>
        <w:tc>
          <w:tcPr>
            <w:tcW w:w="1157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DF7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sCJD-MM1:F13, F17</w:t>
            </w:r>
          </w:p>
          <w:p w14:paraId="20875DF8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sCJD-MM2:F16, F17</w:t>
            </w:r>
          </w:p>
          <w:p w14:paraId="20875DF9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sCJD-VV2:F16</w:t>
            </w:r>
          </w:p>
        </w:tc>
      </w:tr>
      <w:tr w:rsidR="00A12823" w:rsidRPr="00A12823" w14:paraId="20875E04" w14:textId="77777777" w:rsidTr="008D5F35">
        <w:trPr>
          <w:trHeight w:val="472"/>
          <w:jc w:val="center"/>
        </w:trPr>
        <w:tc>
          <w:tcPr>
            <w:tcW w:w="452" w:type="pct"/>
            <w:shd w:val="clear" w:color="auto" w:fill="auto"/>
            <w:hideMark/>
          </w:tcPr>
          <w:p w14:paraId="20875DFB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GRP75</w:t>
            </w:r>
          </w:p>
        </w:tc>
        <w:tc>
          <w:tcPr>
            <w:tcW w:w="523" w:type="pct"/>
            <w:shd w:val="clear" w:color="auto" w:fill="auto"/>
            <w:hideMark/>
          </w:tcPr>
          <w:p w14:paraId="20875DFC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P38646</w:t>
            </w:r>
          </w:p>
        </w:tc>
        <w:tc>
          <w:tcPr>
            <w:tcW w:w="695" w:type="pct"/>
            <w:shd w:val="clear" w:color="auto" w:fill="auto"/>
            <w:hideMark/>
          </w:tcPr>
          <w:p w14:paraId="20875DFD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Stress-70 protein, mitochondrial</w:t>
            </w:r>
          </w:p>
        </w:tc>
        <w:tc>
          <w:tcPr>
            <w:tcW w:w="742" w:type="pct"/>
            <w:shd w:val="clear" w:color="auto" w:fill="auto"/>
            <w:hideMark/>
          </w:tcPr>
          <w:p w14:paraId="20875DFE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Mc, Nu, nucleolus</w:t>
            </w:r>
          </w:p>
        </w:tc>
        <w:tc>
          <w:tcPr>
            <w:tcW w:w="678" w:type="pct"/>
            <w:shd w:val="clear" w:color="auto" w:fill="auto"/>
            <w:hideMark/>
          </w:tcPr>
          <w:p w14:paraId="20875DFF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shd w:val="clear" w:color="auto" w:fill="auto"/>
            <w:hideMark/>
          </w:tcPr>
          <w:p w14:paraId="20875E00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shd w:val="clear" w:color="auto" w:fill="auto"/>
            <w:hideMark/>
          </w:tcPr>
          <w:p w14:paraId="20875E01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sCJD-MM1:F17,</w:t>
            </w:r>
          </w:p>
          <w:p w14:paraId="20875E02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sCJD-MM2:F12, F17 </w:t>
            </w:r>
          </w:p>
          <w:p w14:paraId="20875E03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sCJD-VV2:F16</w:t>
            </w:r>
          </w:p>
        </w:tc>
      </w:tr>
      <w:tr w:rsidR="00A12823" w:rsidRPr="00A12823" w14:paraId="20875E0E" w14:textId="77777777" w:rsidTr="008D5F35">
        <w:trPr>
          <w:trHeight w:val="944"/>
          <w:jc w:val="center"/>
        </w:trPr>
        <w:tc>
          <w:tcPr>
            <w:tcW w:w="4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E05" w14:textId="77777777" w:rsidR="004565FF" w:rsidRPr="00A12823" w:rsidRDefault="004565FF" w:rsidP="00A12823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TPPP</w:t>
            </w:r>
          </w:p>
        </w:tc>
        <w:tc>
          <w:tcPr>
            <w:tcW w:w="523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E06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O94811</w:t>
            </w:r>
          </w:p>
        </w:tc>
        <w:tc>
          <w:tcPr>
            <w:tcW w:w="695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E07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Tubulin polymerization-promoting protein</w:t>
            </w:r>
          </w:p>
        </w:tc>
        <w:tc>
          <w:tcPr>
            <w:tcW w:w="74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E08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Cy, Ck. Nu. Localizes to glial Lewy bodies</w:t>
            </w:r>
          </w:p>
        </w:tc>
        <w:tc>
          <w:tcPr>
            <w:tcW w:w="678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E09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53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E0A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Known </w:t>
            </w:r>
            <w:r w:rsidRPr="00A12823">
              <w:rPr>
                <w:rFonts w:eastAsia="Times New Roman"/>
                <w:noProof/>
                <w:color w:val="000000"/>
                <w:sz w:val="20"/>
                <w:szCs w:val="20"/>
              </w:rPr>
              <w:t>[38]</w:t>
            </w:r>
          </w:p>
        </w:tc>
        <w:tc>
          <w:tcPr>
            <w:tcW w:w="1157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hideMark/>
          </w:tcPr>
          <w:p w14:paraId="20875E0B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sCJD-MM1:F17, </w:t>
            </w:r>
          </w:p>
          <w:p w14:paraId="20875E0C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 xml:space="preserve">sCJD-MM2:F17, </w:t>
            </w:r>
          </w:p>
          <w:p w14:paraId="20875E0D" w14:textId="77777777" w:rsidR="004565FF" w:rsidRPr="00A12823" w:rsidRDefault="004565FF" w:rsidP="00A1282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A12823">
              <w:rPr>
                <w:rFonts w:eastAsia="Times New Roman"/>
                <w:color w:val="000000"/>
                <w:sz w:val="20"/>
                <w:szCs w:val="20"/>
              </w:rPr>
              <w:t>sCJD-VV2:F16</w:t>
            </w:r>
          </w:p>
        </w:tc>
      </w:tr>
    </w:tbl>
    <w:p w14:paraId="20875E10" w14:textId="640B85D9" w:rsidR="00D04CCB" w:rsidRPr="00C14188" w:rsidRDefault="00D04CCB" w:rsidP="00D04CCB">
      <w:pPr>
        <w:pStyle w:val="Caption"/>
        <w:rPr>
          <w:b w:val="0"/>
        </w:rPr>
      </w:pPr>
      <w:r w:rsidRPr="00C14188">
        <w:rPr>
          <w:b w:val="0"/>
        </w:rPr>
        <w:t>F12 to F17: HDF pool-12 to 17</w:t>
      </w:r>
      <w:r w:rsidR="00B40A51" w:rsidRPr="00C14188">
        <w:rPr>
          <w:b w:val="0"/>
        </w:rPr>
        <w:t xml:space="preserve">. </w:t>
      </w:r>
      <w:r w:rsidRPr="00C14188">
        <w:rPr>
          <w:b w:val="0"/>
        </w:rPr>
        <w:t xml:space="preserve">Ce: centrosome, Sy: Synapse, Sr: sarcoplasmic reticulum, C: Cytoplasm, Ck: cytoskeleton, Nu: Nucleus, S: Secreted, Cm: Cell membrane, </w:t>
      </w:r>
      <w:proofErr w:type="spellStart"/>
      <w:r w:rsidRPr="00C14188">
        <w:rPr>
          <w:b w:val="0"/>
        </w:rPr>
        <w:t>Sl</w:t>
      </w:r>
      <w:proofErr w:type="spellEnd"/>
      <w:r w:rsidRPr="00C14188">
        <w:rPr>
          <w:b w:val="0"/>
        </w:rPr>
        <w:t xml:space="preserve">: Sarcolemma, Ly: Lysosomes, Mc: Mitochondrion, </w:t>
      </w:r>
      <w:proofErr w:type="spellStart"/>
      <w:r w:rsidRPr="00C14188">
        <w:rPr>
          <w:b w:val="0"/>
        </w:rPr>
        <w:t>Syo</w:t>
      </w:r>
      <w:proofErr w:type="spellEnd"/>
      <w:r w:rsidRPr="00C14188">
        <w:rPr>
          <w:b w:val="0"/>
        </w:rPr>
        <w:t xml:space="preserve">: Synaptosome, </w:t>
      </w:r>
      <w:proofErr w:type="spellStart"/>
      <w:r w:rsidRPr="00C14188">
        <w:rPr>
          <w:b w:val="0"/>
        </w:rPr>
        <w:t>Cj</w:t>
      </w:r>
      <w:proofErr w:type="spellEnd"/>
      <w:r w:rsidRPr="00C14188">
        <w:rPr>
          <w:b w:val="0"/>
        </w:rPr>
        <w:t xml:space="preserve">: Cell junction, C V: cytoplasmic vesicles, Ga: Golgi apparatus, Pm: phagosome membrane, Px: peroxisome, </w:t>
      </w:r>
      <w:proofErr w:type="spellStart"/>
      <w:r w:rsidRPr="00C14188">
        <w:rPr>
          <w:b w:val="0"/>
        </w:rPr>
        <w:t>Em</w:t>
      </w:r>
      <w:proofErr w:type="spellEnd"/>
      <w:r w:rsidRPr="00C14188">
        <w:rPr>
          <w:b w:val="0"/>
        </w:rPr>
        <w:t xml:space="preserve">: Endosome membrane, Cp: Cell projection, Gc: growth cone, </w:t>
      </w:r>
      <w:proofErr w:type="spellStart"/>
      <w:r w:rsidRPr="00C14188">
        <w:rPr>
          <w:b w:val="0"/>
        </w:rPr>
        <w:t>Ms</w:t>
      </w:r>
      <w:proofErr w:type="spellEnd"/>
      <w:r w:rsidRPr="00C14188">
        <w:rPr>
          <w:b w:val="0"/>
        </w:rPr>
        <w:t xml:space="preserve">: Melanosome, Er: Endoplasmic reticulum and La: Lipid-anchor. The localization of proteins and accession number are assigned as in </w:t>
      </w:r>
      <w:proofErr w:type="spellStart"/>
      <w:r w:rsidRPr="00C14188">
        <w:rPr>
          <w:b w:val="0"/>
        </w:rPr>
        <w:t>ExPASy</w:t>
      </w:r>
      <w:proofErr w:type="spellEnd"/>
      <w:r w:rsidRPr="00C14188">
        <w:rPr>
          <w:b w:val="0"/>
        </w:rPr>
        <w:t xml:space="preserve"> protein database and </w:t>
      </w:r>
      <w:proofErr w:type="spellStart"/>
      <w:r w:rsidRPr="00C14188">
        <w:rPr>
          <w:b w:val="0"/>
        </w:rPr>
        <w:t>Uniprot</w:t>
      </w:r>
      <w:proofErr w:type="spellEnd"/>
      <w:r w:rsidRPr="00C14188">
        <w:rPr>
          <w:b w:val="0"/>
        </w:rPr>
        <w:t xml:space="preserve"> data base respectively. Relevance with AD, prion and </w:t>
      </w:r>
      <w:proofErr w:type="spellStart"/>
      <w:r w:rsidRPr="00C14188">
        <w:rPr>
          <w:b w:val="0"/>
        </w:rPr>
        <w:t>PrP</w:t>
      </w:r>
      <w:proofErr w:type="spellEnd"/>
      <w:r w:rsidRPr="00C14188">
        <w:rPr>
          <w:b w:val="0"/>
        </w:rPr>
        <w:t xml:space="preserve"> ligand were established by </w:t>
      </w:r>
      <w:proofErr w:type="spellStart"/>
      <w:r w:rsidRPr="00C14188">
        <w:rPr>
          <w:b w:val="0"/>
        </w:rPr>
        <w:t>Uniprot</w:t>
      </w:r>
      <w:proofErr w:type="spellEnd"/>
      <w:r w:rsidRPr="00C14188">
        <w:rPr>
          <w:b w:val="0"/>
        </w:rPr>
        <w:t xml:space="preserve"> database search as well.</w:t>
      </w:r>
    </w:p>
    <w:p w14:paraId="20875E12" w14:textId="6E031885" w:rsidR="00B00D86" w:rsidRPr="00C14188" w:rsidRDefault="00D04CCB" w:rsidP="00B00D86">
      <w:pPr>
        <w:spacing w:line="360" w:lineRule="auto"/>
      </w:pPr>
      <w:r w:rsidRPr="00C14188">
        <w:t xml:space="preserve">Likewise, eleven proteins were uniquely identified in two </w:t>
      </w:r>
      <w:proofErr w:type="spellStart"/>
      <w:r w:rsidRPr="00C14188">
        <w:t>sCJD</w:t>
      </w:r>
      <w:proofErr w:type="spellEnd"/>
      <w:r w:rsidRPr="00C14188">
        <w:t xml:space="preserve"> subtype (</w:t>
      </w:r>
      <w:r w:rsidR="00032B9A" w:rsidRPr="00C14188">
        <w:t>i.e.,</w:t>
      </w:r>
      <w:r w:rsidRPr="00C14188">
        <w:t xml:space="preserve"> MV and VV2)-specific HDFs. Respective reported </w:t>
      </w:r>
      <w:proofErr w:type="spellStart"/>
      <w:r w:rsidRPr="00C14188">
        <w:t>PrP</w:t>
      </w:r>
      <w:proofErr w:type="spellEnd"/>
      <w:r w:rsidRPr="00C14188">
        <w:t xml:space="preserve"> interaction, disease involvement and specific occurrence in </w:t>
      </w:r>
      <w:r w:rsidR="00032B9A" w:rsidRPr="00C14188">
        <w:t>subtype specific</w:t>
      </w:r>
      <w:r w:rsidRPr="00C14188">
        <w:t xml:space="preserve"> HDFs are enlisted in </w:t>
      </w:r>
      <w:r w:rsidRPr="00C14188">
        <w:fldChar w:fldCharType="begin"/>
      </w:r>
      <w:r w:rsidRPr="00C14188">
        <w:instrText xml:space="preserve"> REF _Ref518049293 \h  \* MERGEFORMAT </w:instrText>
      </w:r>
      <w:r w:rsidRPr="00C14188">
        <w:fldChar w:fldCharType="separate"/>
      </w:r>
      <w:r w:rsidR="00C14188" w:rsidRPr="00C14188">
        <w:t xml:space="preserve">Suppl. table </w:t>
      </w:r>
      <w:r w:rsidR="00C14188">
        <w:rPr>
          <w:noProof/>
        </w:rPr>
        <w:t>4</w:t>
      </w:r>
      <w:r w:rsidRPr="00C14188">
        <w:fldChar w:fldCharType="end"/>
      </w:r>
      <w:r w:rsidRPr="00C14188">
        <w:t>.</w:t>
      </w:r>
    </w:p>
    <w:p w14:paraId="20875E13" w14:textId="77777777" w:rsidR="00D04CCB" w:rsidRPr="00C14188" w:rsidRDefault="00490A7C" w:rsidP="00D04CCB">
      <w:pPr>
        <w:pStyle w:val="Caption"/>
      </w:pPr>
      <w:bookmarkStart w:id="16" w:name="_Ref518049293"/>
      <w:bookmarkStart w:id="17" w:name="_Toc518535943"/>
      <w:bookmarkStart w:id="18" w:name="_Toc518536026"/>
      <w:bookmarkStart w:id="19" w:name="_Toc527532792"/>
      <w:r w:rsidRPr="00C14188">
        <w:t xml:space="preserve">Suppl. table </w:t>
      </w:r>
      <w:r w:rsidR="00D04CCB" w:rsidRPr="00C14188">
        <w:rPr>
          <w:noProof/>
        </w:rPr>
        <w:fldChar w:fldCharType="begin"/>
      </w:r>
      <w:r w:rsidR="00D04CCB" w:rsidRPr="00C14188">
        <w:rPr>
          <w:noProof/>
        </w:rPr>
        <w:instrText xml:space="preserve"> SEQ Table \* ARABIC </w:instrText>
      </w:r>
      <w:r w:rsidR="00D04CCB" w:rsidRPr="00C14188">
        <w:rPr>
          <w:noProof/>
        </w:rPr>
        <w:fldChar w:fldCharType="separate"/>
      </w:r>
      <w:r w:rsidR="00C14188">
        <w:rPr>
          <w:noProof/>
        </w:rPr>
        <w:t>4</w:t>
      </w:r>
      <w:r w:rsidR="00D04CCB" w:rsidRPr="00C14188">
        <w:rPr>
          <w:noProof/>
        </w:rPr>
        <w:fldChar w:fldCharType="end"/>
      </w:r>
      <w:bookmarkEnd w:id="16"/>
      <w:r w:rsidR="00D04CCB" w:rsidRPr="00C14188">
        <w:t xml:space="preserve">: </w:t>
      </w:r>
      <w:r w:rsidR="00C53804" w:rsidRPr="00C14188">
        <w:t>High-density</w:t>
      </w:r>
      <w:r w:rsidR="00D04CCB" w:rsidRPr="00C14188">
        <w:t xml:space="preserve"> </w:t>
      </w:r>
      <w:proofErr w:type="spellStart"/>
      <w:r w:rsidR="00D04CCB" w:rsidRPr="00C14188">
        <w:t>PrP</w:t>
      </w:r>
      <w:proofErr w:type="spellEnd"/>
      <w:r w:rsidR="00D04CCB" w:rsidRPr="00C14188">
        <w:t xml:space="preserve"> (HDP) interactors commonly detected between the high-density fractions of sCJD-MM2 and sCJD-VV2 subtypes.</w:t>
      </w:r>
      <w:bookmarkEnd w:id="17"/>
      <w:bookmarkEnd w:id="18"/>
      <w:bookmarkEnd w:id="19"/>
    </w:p>
    <w:tbl>
      <w:tblPr>
        <w:tblW w:w="9851" w:type="dxa"/>
        <w:jc w:val="center"/>
        <w:tblLook w:val="04A0" w:firstRow="1" w:lastRow="0" w:firstColumn="1" w:lastColumn="0" w:noHBand="0" w:noVBand="1"/>
      </w:tblPr>
      <w:tblGrid>
        <w:gridCol w:w="539"/>
        <w:gridCol w:w="906"/>
        <w:gridCol w:w="995"/>
        <w:gridCol w:w="1562"/>
        <w:gridCol w:w="1295"/>
        <w:gridCol w:w="1239"/>
        <w:gridCol w:w="1784"/>
        <w:gridCol w:w="1531"/>
      </w:tblGrid>
      <w:tr w:rsidR="00EB18F9" w:rsidRPr="00A12823" w14:paraId="20875E1C" w14:textId="77777777" w:rsidTr="00971704">
        <w:trPr>
          <w:trHeight w:val="78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14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15" w14:textId="77777777" w:rsidR="00EB18F9" w:rsidRPr="00C14188" w:rsidRDefault="00504C32" w:rsidP="00971704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Gene </w:t>
            </w:r>
            <w:r w:rsidR="00EB18F9" w:rsidRPr="00C141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IDs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16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Entry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17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Protein names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18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Subcellular location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19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141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PrP</w:t>
            </w:r>
            <w:proofErr w:type="spellEnd"/>
            <w:r w:rsidRPr="00C141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-interaction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1A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Involvement in disease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875E1B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Occurrence in sub-type specific fractions</w:t>
            </w:r>
          </w:p>
        </w:tc>
      </w:tr>
      <w:tr w:rsidR="00EB18F9" w:rsidRPr="00A12823" w14:paraId="20875E26" w14:textId="77777777" w:rsidTr="00971704">
        <w:trPr>
          <w:trHeight w:val="525"/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1D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1E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DEST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1F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P60981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20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Destrin (Actin-depolymerizing factor)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21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22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23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24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sCJD-MM2:F12,</w:t>
            </w:r>
          </w:p>
          <w:p w14:paraId="20875E25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sCJD-VV2:F17</w:t>
            </w:r>
          </w:p>
        </w:tc>
      </w:tr>
      <w:tr w:rsidR="00EB18F9" w:rsidRPr="00A12823" w14:paraId="20875E30" w14:textId="77777777" w:rsidTr="00971704">
        <w:trPr>
          <w:trHeight w:val="600"/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27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28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COR1A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29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P31146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2A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Coronin-1A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2B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  <w:r w:rsidRPr="00C14188">
              <w:rPr>
                <w:rFonts w:eastAsia="Times New Roman"/>
                <w:color w:val="000000"/>
                <w:sz w:val="22"/>
                <w:szCs w:val="22"/>
              </w:rPr>
              <w:t>C, Ck, C, C V, Pm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2C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17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2D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2E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sCJD-MM2:F12,</w:t>
            </w:r>
          </w:p>
          <w:p w14:paraId="20875E2F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sCJD-VV2:F16, F17</w:t>
            </w:r>
          </w:p>
        </w:tc>
      </w:tr>
      <w:tr w:rsidR="00EB18F9" w:rsidRPr="00A12823" w14:paraId="20875E3A" w14:textId="77777777" w:rsidTr="00971704">
        <w:trPr>
          <w:trHeight w:val="600"/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31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32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SEPT3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33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Q9UH03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34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Neuronal-specific septin-3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35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  <w:r w:rsidRPr="00C14188">
              <w:rPr>
                <w:rFonts w:eastAsia="Times New Roman"/>
                <w:color w:val="000000"/>
                <w:sz w:val="22"/>
                <w:szCs w:val="22"/>
              </w:rPr>
              <w:t xml:space="preserve">C, Ck, </w:t>
            </w:r>
            <w:proofErr w:type="spellStart"/>
            <w:r w:rsidRPr="00C14188">
              <w:rPr>
                <w:rFonts w:eastAsia="Times New Roman"/>
                <w:color w:val="000000"/>
                <w:sz w:val="22"/>
                <w:szCs w:val="22"/>
              </w:rPr>
              <w:t>Cj</w:t>
            </w:r>
            <w:proofErr w:type="spellEnd"/>
            <w:r w:rsidRPr="00C14188">
              <w:rPr>
                <w:rFonts w:eastAsia="Times New Roman"/>
                <w:color w:val="000000"/>
                <w:sz w:val="22"/>
                <w:szCs w:val="22"/>
              </w:rPr>
              <w:t xml:space="preserve">, Sy 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36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17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37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38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 xml:space="preserve">sCJD-MM2:F16, 17, </w:t>
            </w:r>
          </w:p>
          <w:p w14:paraId="20875E39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sCJD-VV2:F16, F17</w:t>
            </w:r>
          </w:p>
        </w:tc>
      </w:tr>
      <w:tr w:rsidR="00EB18F9" w:rsidRPr="00A12823" w14:paraId="20875E44" w14:textId="77777777" w:rsidTr="00971704">
        <w:trPr>
          <w:trHeight w:val="525"/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3B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3C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CISY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3D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O75390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3E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Citrate synthase, mitochondrial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3F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  <w:r w:rsidRPr="00C14188">
              <w:rPr>
                <w:rFonts w:eastAsia="Times New Roman"/>
                <w:color w:val="000000"/>
                <w:sz w:val="22"/>
                <w:szCs w:val="22"/>
              </w:rPr>
              <w:t>Mc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40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17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41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42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 xml:space="preserve">sCJD-MM2:F12. 17, </w:t>
            </w:r>
          </w:p>
          <w:p w14:paraId="20875E43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sCJD-VV2:F16, 17</w:t>
            </w:r>
          </w:p>
        </w:tc>
      </w:tr>
      <w:tr w:rsidR="00EB18F9" w:rsidRPr="00A12823" w14:paraId="20875E4E" w14:textId="77777777" w:rsidTr="00971704">
        <w:trPr>
          <w:trHeight w:val="780"/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45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46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STX1B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47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P61266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48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Syntaxin-1B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75E49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  <w:r w:rsidRPr="00C14188">
              <w:rPr>
                <w:rFonts w:eastAsia="Times New Roman"/>
                <w:color w:val="000000"/>
                <w:sz w:val="22"/>
                <w:szCs w:val="22"/>
              </w:rPr>
              <w:t xml:space="preserve">Nu, C, Ck, Ce 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4A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1784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4B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 xml:space="preserve">Generalized epilepsy with febrile seizures plus 9 </w:t>
            </w:r>
            <w:r w:rsidR="008E5FA6" w:rsidRPr="00C14188">
              <w:rPr>
                <w:rFonts w:eastAsia="Times New Roman"/>
                <w:noProof/>
                <w:color w:val="000000"/>
                <w:sz w:val="20"/>
                <w:szCs w:val="20"/>
              </w:rPr>
              <w:t>[38]</w:t>
            </w: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75E4C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sCJD-MM2:F17,</w:t>
            </w:r>
          </w:p>
          <w:p w14:paraId="20875E4D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sCJD-VV2:F16, 17</w:t>
            </w:r>
          </w:p>
        </w:tc>
      </w:tr>
      <w:tr w:rsidR="00EB18F9" w:rsidRPr="00A12823" w14:paraId="20875E58" w14:textId="77777777" w:rsidTr="00971704">
        <w:trPr>
          <w:trHeight w:val="1290"/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4F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50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PRIO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51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P04156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52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Major prion protein (</w:t>
            </w:r>
            <w:proofErr w:type="spellStart"/>
            <w:r w:rsidRPr="00C14188">
              <w:rPr>
                <w:rFonts w:eastAsia="Times New Roman"/>
                <w:color w:val="000000"/>
                <w:sz w:val="20"/>
                <w:szCs w:val="20"/>
              </w:rPr>
              <w:t>PrP</w:t>
            </w:r>
            <w:proofErr w:type="spellEnd"/>
            <w:r w:rsidRPr="00C14188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53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  <w:r w:rsidRPr="00C14188">
              <w:rPr>
                <w:rFonts w:eastAsia="Times New Roman"/>
                <w:color w:val="000000"/>
                <w:sz w:val="22"/>
                <w:szCs w:val="22"/>
              </w:rPr>
              <w:t xml:space="preserve">Cm; Ga, Nu 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54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 xml:space="preserve">Known </w:t>
            </w:r>
            <w:r w:rsidR="008E5FA6" w:rsidRPr="00C14188">
              <w:rPr>
                <w:rFonts w:eastAsia="Times New Roman"/>
                <w:noProof/>
                <w:color w:val="000000"/>
                <w:sz w:val="20"/>
                <w:szCs w:val="20"/>
              </w:rPr>
              <w:t>[35]</w:t>
            </w:r>
          </w:p>
        </w:tc>
        <w:tc>
          <w:tcPr>
            <w:tcW w:w="17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55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 xml:space="preserve">Transmissible spongiform encephalopathies (Kuru, CJD, FFI and GSS), Alzheimer's disease </w:t>
            </w:r>
            <w:r w:rsidR="008E5FA6" w:rsidRPr="00C14188">
              <w:rPr>
                <w:rFonts w:eastAsia="Times New Roman"/>
                <w:noProof/>
                <w:color w:val="000000"/>
                <w:sz w:val="20"/>
                <w:szCs w:val="20"/>
              </w:rPr>
              <w:t>[36]</w:t>
            </w: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56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sCJD-MM2:F17,</w:t>
            </w:r>
          </w:p>
          <w:p w14:paraId="20875E57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sCJD-VV2:F15 to F17</w:t>
            </w:r>
          </w:p>
        </w:tc>
      </w:tr>
      <w:tr w:rsidR="00EB18F9" w:rsidRPr="00A12823" w14:paraId="20875E62" w14:textId="77777777" w:rsidTr="00971704">
        <w:trPr>
          <w:trHeight w:val="525"/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59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5A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CNRP1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5B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Q96F85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5C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CB1 cannabinoid receptor-interacting protein 1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5D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5E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17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5F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60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sCJD-MM2:F17,</w:t>
            </w:r>
          </w:p>
          <w:p w14:paraId="20875E61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sCJD-VV2:F17</w:t>
            </w:r>
          </w:p>
        </w:tc>
      </w:tr>
      <w:tr w:rsidR="00EB18F9" w:rsidRPr="00A12823" w14:paraId="20875E6C" w14:textId="77777777" w:rsidTr="00971704">
        <w:trPr>
          <w:trHeight w:val="300"/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63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64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SCRN1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65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Q12765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66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Secernin-1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67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  <w:r w:rsidRPr="00C14188">
              <w:rPr>
                <w:rFonts w:eastAsia="Times New Roman"/>
                <w:color w:val="000000"/>
                <w:sz w:val="22"/>
                <w:szCs w:val="22"/>
              </w:rPr>
              <w:t>C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68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17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69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6A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sCJD-MM2:F17,</w:t>
            </w:r>
          </w:p>
          <w:p w14:paraId="20875E6B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sCJD-VV2:F16, 17</w:t>
            </w:r>
          </w:p>
        </w:tc>
      </w:tr>
      <w:tr w:rsidR="00EB18F9" w:rsidRPr="00A12823" w14:paraId="20875E76" w14:textId="77777777" w:rsidTr="00971704">
        <w:trPr>
          <w:trHeight w:val="600"/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6D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6E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UBA1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6F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P22314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70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Ubiquitin-like modifier-activating enzyme 1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71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  <w:r w:rsidRPr="00C14188">
              <w:rPr>
                <w:rFonts w:eastAsia="Times New Roman"/>
                <w:color w:val="000000"/>
                <w:sz w:val="22"/>
                <w:szCs w:val="22"/>
              </w:rPr>
              <w:t xml:space="preserve">C, Mc, Nu 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72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17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73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74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sCJD-MM2:F17,</w:t>
            </w:r>
          </w:p>
          <w:p w14:paraId="20875E75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sCJD-VV2:F16, 17</w:t>
            </w:r>
          </w:p>
        </w:tc>
      </w:tr>
      <w:tr w:rsidR="00EB18F9" w:rsidRPr="00A12823" w14:paraId="20875E80" w14:textId="77777777" w:rsidTr="00971704">
        <w:trPr>
          <w:trHeight w:val="525"/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77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78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AINX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79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Q16352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7A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Alpha-</w:t>
            </w:r>
            <w:proofErr w:type="spellStart"/>
            <w:r w:rsidRPr="00C14188">
              <w:rPr>
                <w:rFonts w:eastAsia="Times New Roman"/>
                <w:color w:val="000000"/>
                <w:sz w:val="20"/>
                <w:szCs w:val="20"/>
              </w:rPr>
              <w:t>internexin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7B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7C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17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7D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875E7E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sCJD-MM2:F17,</w:t>
            </w:r>
          </w:p>
          <w:p w14:paraId="20875E7F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sCJD-VV2:F16, 17</w:t>
            </w:r>
          </w:p>
        </w:tc>
      </w:tr>
      <w:tr w:rsidR="00EB18F9" w:rsidRPr="00A12823" w14:paraId="20875E8A" w14:textId="77777777" w:rsidTr="00971704">
        <w:trPr>
          <w:trHeight w:val="42"/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81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82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PRDX5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83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P30044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84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Peroxiredoxin-5, mitochondrial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85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Mc, C, Px</w:t>
            </w:r>
          </w:p>
        </w:tc>
        <w:tc>
          <w:tcPr>
            <w:tcW w:w="1239" w:type="dxa"/>
            <w:tcBorders>
              <w:top w:val="sing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86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1784" w:type="dxa"/>
            <w:tcBorders>
              <w:top w:val="sing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E87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875E88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sCJD-MM2:F17,</w:t>
            </w:r>
          </w:p>
          <w:p w14:paraId="20875E89" w14:textId="77777777" w:rsidR="00EB18F9" w:rsidRPr="00C14188" w:rsidRDefault="00EB18F9" w:rsidP="00971704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C14188">
              <w:rPr>
                <w:rFonts w:eastAsia="Times New Roman"/>
                <w:color w:val="000000"/>
                <w:sz w:val="20"/>
                <w:szCs w:val="20"/>
              </w:rPr>
              <w:t>sCJD-VV2:F16</w:t>
            </w:r>
          </w:p>
        </w:tc>
      </w:tr>
    </w:tbl>
    <w:p w14:paraId="20875E8B" w14:textId="5E92E3BE" w:rsidR="00D04CCB" w:rsidRPr="00C14188" w:rsidRDefault="00D04CCB" w:rsidP="00D04CCB">
      <w:pPr>
        <w:pStyle w:val="Caption"/>
        <w:rPr>
          <w:b w:val="0"/>
        </w:rPr>
      </w:pPr>
      <w:r w:rsidRPr="00C14188">
        <w:rPr>
          <w:b w:val="0"/>
        </w:rPr>
        <w:t xml:space="preserve">F12 to F17: HDF pool-12 to 17. Ce: centrosome, Sy: Synapse, Sr: sarcoplasmic reticulum, C: Cytoplasm, Ck: cytoskeleton, Nu: Nucleus, S: Secreted, Cm: Cell membrane, </w:t>
      </w:r>
      <w:proofErr w:type="spellStart"/>
      <w:r w:rsidRPr="00C14188">
        <w:rPr>
          <w:b w:val="0"/>
        </w:rPr>
        <w:t>Sl</w:t>
      </w:r>
      <w:proofErr w:type="spellEnd"/>
      <w:r w:rsidRPr="00C14188">
        <w:rPr>
          <w:b w:val="0"/>
        </w:rPr>
        <w:t xml:space="preserve">: Sarcolemma, Ly: Lysosomes, Mc: Mitochondrion, </w:t>
      </w:r>
      <w:proofErr w:type="spellStart"/>
      <w:r w:rsidRPr="00C14188">
        <w:rPr>
          <w:b w:val="0"/>
        </w:rPr>
        <w:t>Syo</w:t>
      </w:r>
      <w:proofErr w:type="spellEnd"/>
      <w:r w:rsidRPr="00C14188">
        <w:rPr>
          <w:b w:val="0"/>
        </w:rPr>
        <w:t xml:space="preserve">: Synaptosome, </w:t>
      </w:r>
      <w:proofErr w:type="spellStart"/>
      <w:r w:rsidRPr="00C14188">
        <w:rPr>
          <w:b w:val="0"/>
        </w:rPr>
        <w:t>Cj</w:t>
      </w:r>
      <w:proofErr w:type="spellEnd"/>
      <w:r w:rsidRPr="00C14188">
        <w:rPr>
          <w:b w:val="0"/>
        </w:rPr>
        <w:t xml:space="preserve">: Cell junction, C V: cytoplasmic vesicles, Ga: Golgi apparatus, Pm: phagosome membrane, Px: peroxisome, </w:t>
      </w:r>
      <w:proofErr w:type="spellStart"/>
      <w:r w:rsidRPr="00C14188">
        <w:rPr>
          <w:b w:val="0"/>
        </w:rPr>
        <w:t>Em</w:t>
      </w:r>
      <w:proofErr w:type="spellEnd"/>
      <w:r w:rsidRPr="00C14188">
        <w:rPr>
          <w:b w:val="0"/>
        </w:rPr>
        <w:t xml:space="preserve">: Endosome membrane, Cp: Cell projection, Gc: growth cone, </w:t>
      </w:r>
      <w:proofErr w:type="spellStart"/>
      <w:r w:rsidRPr="00C14188">
        <w:rPr>
          <w:b w:val="0"/>
        </w:rPr>
        <w:t>Ms</w:t>
      </w:r>
      <w:proofErr w:type="spellEnd"/>
      <w:r w:rsidRPr="00C14188">
        <w:rPr>
          <w:b w:val="0"/>
        </w:rPr>
        <w:t xml:space="preserve">: Melanosome, Er: Endoplasmic reticulum and La: Lipid-anchor. The localization of proteins and accession number are assigned as in </w:t>
      </w:r>
      <w:proofErr w:type="spellStart"/>
      <w:r w:rsidRPr="00C14188">
        <w:rPr>
          <w:b w:val="0"/>
        </w:rPr>
        <w:t>ExPASy</w:t>
      </w:r>
      <w:proofErr w:type="spellEnd"/>
      <w:r w:rsidRPr="00C14188">
        <w:rPr>
          <w:b w:val="0"/>
        </w:rPr>
        <w:t xml:space="preserve"> protein database and </w:t>
      </w:r>
      <w:proofErr w:type="spellStart"/>
      <w:r w:rsidRPr="00C14188">
        <w:rPr>
          <w:b w:val="0"/>
        </w:rPr>
        <w:t>Uniprot</w:t>
      </w:r>
      <w:proofErr w:type="spellEnd"/>
      <w:r w:rsidRPr="00C14188">
        <w:rPr>
          <w:b w:val="0"/>
        </w:rPr>
        <w:t xml:space="preserve"> </w:t>
      </w:r>
      <w:r w:rsidR="00C53804" w:rsidRPr="00C14188">
        <w:rPr>
          <w:b w:val="0"/>
        </w:rPr>
        <w:t>database</w:t>
      </w:r>
      <w:r w:rsidRPr="00C14188">
        <w:rPr>
          <w:b w:val="0"/>
        </w:rPr>
        <w:t xml:space="preserve"> respectively. Relevance with AD, prion and </w:t>
      </w:r>
      <w:proofErr w:type="spellStart"/>
      <w:r w:rsidRPr="00C14188">
        <w:rPr>
          <w:b w:val="0"/>
        </w:rPr>
        <w:t>PrP</w:t>
      </w:r>
      <w:proofErr w:type="spellEnd"/>
      <w:r w:rsidRPr="00C14188">
        <w:rPr>
          <w:b w:val="0"/>
        </w:rPr>
        <w:t xml:space="preserve"> ligand were established by </w:t>
      </w:r>
      <w:proofErr w:type="spellStart"/>
      <w:r w:rsidRPr="00C14188">
        <w:rPr>
          <w:b w:val="0"/>
        </w:rPr>
        <w:t>Uniprot</w:t>
      </w:r>
      <w:proofErr w:type="spellEnd"/>
      <w:r w:rsidRPr="00C14188">
        <w:rPr>
          <w:b w:val="0"/>
        </w:rPr>
        <w:t xml:space="preserve"> database search as well.</w:t>
      </w:r>
    </w:p>
    <w:p w14:paraId="20875E8C" w14:textId="2531732F" w:rsidR="00D04CCB" w:rsidRPr="00C14188" w:rsidRDefault="00D04CCB" w:rsidP="007659B6">
      <w:pPr>
        <w:spacing w:line="480" w:lineRule="auto"/>
      </w:pPr>
      <w:r w:rsidRPr="00C14188">
        <w:t xml:space="preserve">Certain HDP-interactors were unique to certain subtype-specific high-density fractions from each disease subtype cohort. The disease relevance and reported interaction to </w:t>
      </w:r>
      <w:proofErr w:type="spellStart"/>
      <w:r w:rsidRPr="00C14188">
        <w:t>PrP</w:t>
      </w:r>
      <w:proofErr w:type="spellEnd"/>
      <w:r w:rsidRPr="00C14188">
        <w:t xml:space="preserve"> are detailed in the</w:t>
      </w:r>
      <w:bookmarkStart w:id="20" w:name="_Ref518062142"/>
      <w:bookmarkStart w:id="21" w:name="_Toc518535944"/>
      <w:bookmarkStart w:id="22" w:name="_Toc518536027"/>
      <w:r w:rsidRPr="00C14188">
        <w:t xml:space="preserve"> </w:t>
      </w:r>
      <w:r w:rsidR="00B00D86" w:rsidRPr="00B00D86">
        <w:rPr>
          <w:b/>
        </w:rPr>
        <w:t>additional file 7</w:t>
      </w:r>
      <w:r w:rsidRPr="00C14188">
        <w:t xml:space="preserve">. We could also identify three interactors common to the controls and </w:t>
      </w:r>
      <w:proofErr w:type="spellStart"/>
      <w:r w:rsidRPr="00C14188">
        <w:t>spAD</w:t>
      </w:r>
      <w:proofErr w:type="spellEnd"/>
      <w:r w:rsidRPr="00C14188">
        <w:t xml:space="preserve"> HDFs including </w:t>
      </w:r>
      <w:r w:rsidRPr="00C14188">
        <w:rPr>
          <w:bCs/>
        </w:rPr>
        <w:t>cathepsin D</w:t>
      </w:r>
      <w:r w:rsidRPr="00C14188">
        <w:t xml:space="preserve"> (CTSD</w:t>
      </w:r>
      <w:r w:rsidRPr="00C14188">
        <w:rPr>
          <w:bCs/>
        </w:rPr>
        <w:t>)</w:t>
      </w:r>
      <w:r w:rsidRPr="00C14188">
        <w:t>, catenin beta-1 (CTNNB1) and protein piccolo (PCLO).</w:t>
      </w:r>
      <w:r w:rsidR="005762C5">
        <w:t xml:space="preserve"> </w:t>
      </w:r>
    </w:p>
    <w:bookmarkEnd w:id="20"/>
    <w:bookmarkEnd w:id="21"/>
    <w:bookmarkEnd w:id="22"/>
    <w:p w14:paraId="20875E8D" w14:textId="77777777" w:rsidR="00F31642" w:rsidRPr="00DF1DA4" w:rsidRDefault="00F31642">
      <w:pPr>
        <w:spacing w:before="0" w:beforeAutospacing="0" w:after="160" w:afterAutospacing="0" w:line="259" w:lineRule="auto"/>
        <w:jc w:val="left"/>
        <w:rPr>
          <w:b/>
          <w:sz w:val="28"/>
        </w:rPr>
      </w:pPr>
      <w:r w:rsidRPr="00DF1DA4">
        <w:rPr>
          <w:b/>
          <w:sz w:val="28"/>
        </w:rPr>
        <w:br w:type="page"/>
      </w:r>
      <w:r w:rsidR="00DF1DA4" w:rsidRPr="00DF1DA4">
        <w:rPr>
          <w:b/>
          <w:sz w:val="28"/>
        </w:rPr>
        <w:lastRenderedPageBreak/>
        <w:t>Bibliography</w:t>
      </w:r>
    </w:p>
    <w:p w14:paraId="20875E8E" w14:textId="751C8C97" w:rsidR="00C53804" w:rsidRPr="00094055" w:rsidRDefault="00C53804" w:rsidP="00C53804">
      <w:pPr>
        <w:widowControl w:val="0"/>
        <w:autoSpaceDE w:val="0"/>
        <w:autoSpaceDN w:val="0"/>
        <w:adjustRightInd w:val="0"/>
        <w:rPr>
          <w:noProof/>
          <w:lang w:val="de-DE"/>
        </w:rPr>
      </w:pPr>
      <w:r w:rsidRPr="00C53804">
        <w:rPr>
          <w:noProof/>
        </w:rPr>
        <w:t xml:space="preserve">1. Yacoubian TA, Slone SR, Harrington AJ, Hamamichi S, Schieltz JM, Caldwell KA, et al. Differential neuroprotective effects of 14-3-3 proteins in models of Parkinson’s disease. </w:t>
      </w:r>
      <w:r w:rsidRPr="00094055">
        <w:rPr>
          <w:noProof/>
          <w:lang w:val="de-DE"/>
        </w:rPr>
        <w:t xml:space="preserve">Cell Death Dis. 2010;1:e2–e2. </w:t>
      </w:r>
    </w:p>
    <w:p w14:paraId="20875E8F" w14:textId="634A77BC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094055">
        <w:rPr>
          <w:noProof/>
          <w:lang w:val="de-DE"/>
        </w:rPr>
        <w:t xml:space="preserve">2. Llorens F, Schmitz M, Knipper T, Schmidt C, Lange P, Fischer A, et al. </w:t>
      </w:r>
      <w:r w:rsidRPr="00C53804">
        <w:rPr>
          <w:noProof/>
        </w:rPr>
        <w:t xml:space="preserve">Cerebrospinal Fluid Biomarkers of Alzheimer’s Disease Show Different but Partially Overlapping Profile Compared to Vascular Dementia. Front Aging Neurosci. 2017;9 SEP:289. </w:t>
      </w:r>
    </w:p>
    <w:p w14:paraId="20875E90" w14:textId="3AE0634E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8D5F35">
        <w:rPr>
          <w:noProof/>
        </w:rPr>
        <w:t xml:space="preserve">3. Schindler CK, Heverin M, Henshall DC. </w:t>
      </w:r>
      <w:r w:rsidRPr="00C53804">
        <w:rPr>
          <w:noProof/>
        </w:rPr>
        <w:t xml:space="preserve">Isoform- and subcellular fraction-specific differences in hippocampal 14-3-3 levels following experimentally evoked seizures and in human temporal lobe epilepsy. J Neurochem. 2006;99:561–9. </w:t>
      </w:r>
    </w:p>
    <w:p w14:paraId="20875E91" w14:textId="4D4E726A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4. Smith LM, Strittmatter SM. Binding Sites for Amyloid-β Oligomers and Synaptic Toxicity. Cold Spring Harb Perspect Med. 2017;7:a024075. </w:t>
      </w:r>
    </w:p>
    <w:p w14:paraId="20875E92" w14:textId="6339B5BE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>5. Querfurth HW, LaFerla FM. Alzheimer’s Disease. N Engl J Med. 2010;362:329–44.</w:t>
      </w:r>
    </w:p>
    <w:p w14:paraId="20875E93" w14:textId="37FE3189" w:rsidR="00C53804" w:rsidRPr="007D1A6C" w:rsidRDefault="00C53804" w:rsidP="00C53804">
      <w:pPr>
        <w:widowControl w:val="0"/>
        <w:autoSpaceDE w:val="0"/>
        <w:autoSpaceDN w:val="0"/>
        <w:adjustRightInd w:val="0"/>
        <w:rPr>
          <w:noProof/>
          <w:lang w:val="de-DE"/>
        </w:rPr>
      </w:pPr>
      <w:r w:rsidRPr="00C53804">
        <w:rPr>
          <w:noProof/>
        </w:rPr>
        <w:t xml:space="preserve">6. Spiegel R, Pines O, Ta-Shma A, Burak E, Shaag A, Halvardson J, et al. Infantile Cerebellar-Retinal Degeneration Associated with a Mutation in Mitochondrial Aconitase, ACO2. </w:t>
      </w:r>
      <w:r w:rsidRPr="007D1A6C">
        <w:rPr>
          <w:noProof/>
          <w:lang w:val="de-DE"/>
        </w:rPr>
        <w:t xml:space="preserve">Am J Hum Genet. 2012;90:518–23. </w:t>
      </w:r>
    </w:p>
    <w:p w14:paraId="20875E94" w14:textId="18CB1B19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7D1A6C">
        <w:rPr>
          <w:noProof/>
          <w:lang w:val="de-DE"/>
        </w:rPr>
        <w:t xml:space="preserve">7. Zafar S, von Ahsen N, Oellerich M, Zerr I, Schulz-Schaeffer WJ, Armstrong VW, et al. </w:t>
      </w:r>
      <w:r w:rsidRPr="00C53804">
        <w:rPr>
          <w:noProof/>
        </w:rPr>
        <w:t>Proteomics Approach to Identify the Interacting Partners of Cellular Prion Protein and Characterization of Rab7a Interaction in Neuronal Cells. J Proteome Res. 2011;10:3123–35.</w:t>
      </w:r>
    </w:p>
    <w:p w14:paraId="20875E95" w14:textId="42DB5736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8. Bogdanova N, Horst J, Chlystun M, Croucher PJP, Nebel A, Bohring A, et al. A common haplotype of the annexin A5 (ANXA5) gene promoter is associated with recurrent pregnancy loss. Hum Mol Genet. 2007;16:573–8. </w:t>
      </w:r>
    </w:p>
    <w:p w14:paraId="20875E96" w14:textId="3CAD0622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9. Muramatsu T, Sakai N, Yanagihara I, Yamada M, Nishigaki T, Kokubu C, et al. Mutation analysis of the acid ceramidase gene in Japanese patients with Farber disease. </w:t>
      </w:r>
      <w:r w:rsidRPr="008D5F35">
        <w:rPr>
          <w:noProof/>
        </w:rPr>
        <w:t xml:space="preserve">J Inherit Metab Dis. 2002;25:585–92. </w:t>
      </w:r>
    </w:p>
    <w:p w14:paraId="20875E97" w14:textId="54D12C41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10. Huang Y, Tanimukai H, Liu F, Iqbal K, Grundke-Iqbal I, Gong C-X. Elevation of the level and activity of acid ceramidase in Alzheimer’s disease brain. Eur J Neurosci. 2004;20:3489–97. </w:t>
      </w:r>
    </w:p>
    <w:p w14:paraId="20875E98" w14:textId="779B94A6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11. Cha MY, Cho HJ, Kim C, Jung YO, Kang MJ, Murray ME, et al. Mitochondrial ATP synthase activity is impaired by suppressed O-GlcNAcylation in Alzheimer’s disease. Hum Mol Genet. 2015;24:6492–504. </w:t>
      </w:r>
    </w:p>
    <w:p w14:paraId="20875E99" w14:textId="26A298BF" w:rsidR="00C53804" w:rsidRPr="008D5F35" w:rsidRDefault="00C53804" w:rsidP="00C53804">
      <w:pPr>
        <w:widowControl w:val="0"/>
        <w:autoSpaceDE w:val="0"/>
        <w:autoSpaceDN w:val="0"/>
        <w:adjustRightInd w:val="0"/>
        <w:rPr>
          <w:noProof/>
          <w:lang w:val="de-DE"/>
        </w:rPr>
      </w:pPr>
      <w:r w:rsidRPr="00C53804">
        <w:rPr>
          <w:noProof/>
        </w:rPr>
        <w:t xml:space="preserve">12. Lin Q, Cao Y, Gao J. Serum calreticulin is a negative biomarker in patients with Alzheimer’s disease. </w:t>
      </w:r>
      <w:r w:rsidRPr="008D5F35">
        <w:rPr>
          <w:noProof/>
          <w:lang w:val="de-DE"/>
        </w:rPr>
        <w:t xml:space="preserve">Int J Mol Sci. 2014;15:21740–53. </w:t>
      </w:r>
    </w:p>
    <w:p w14:paraId="20875E9A" w14:textId="3BFB6681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1281">
        <w:rPr>
          <w:noProof/>
          <w:lang w:val="de-DE"/>
        </w:rPr>
        <w:lastRenderedPageBreak/>
        <w:t xml:space="preserve">13. Wang W, Chen R, Luo K, Wu D, Huang L, Huang T, et al. </w:t>
      </w:r>
      <w:r w:rsidRPr="00C53804">
        <w:rPr>
          <w:noProof/>
        </w:rPr>
        <w:t>Calnexin inhibits thermal aggregation and neurotoxicity of prion protein. J Cell Biochem. 2010;111:343–9.</w:t>
      </w:r>
    </w:p>
    <w:p w14:paraId="20875E9B" w14:textId="36983D74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14. Kovacs GG, Sanchez-Juan P, Ströbel T, Schuur M, Poleggi A, Nocentini S, et al. Cathepsin D (C224T) Polymorphism in Sporadic and Genetic Creutzfeldt-Jakob Disease. Alzheimer Dis Assoc Disord. 2010;24:104–7. </w:t>
      </w:r>
    </w:p>
    <w:p w14:paraId="20875E9C" w14:textId="097A55C6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15. Takenouchi T, Kosaki R, Niizuma T, Hata K, Kosaki K. Macrothrombocytopenia and developmental delay with a de novo CDC42 mutation: Yet another locus for thrombocytopenia and developmental delay. Am J Med Genet Part A. 2015;167:2822–5. </w:t>
      </w:r>
    </w:p>
    <w:p w14:paraId="20875E9D" w14:textId="35393D1C" w:rsidR="00C53804" w:rsidRPr="008D5F35" w:rsidRDefault="00C53804" w:rsidP="00C53804">
      <w:pPr>
        <w:widowControl w:val="0"/>
        <w:autoSpaceDE w:val="0"/>
        <w:autoSpaceDN w:val="0"/>
        <w:adjustRightInd w:val="0"/>
        <w:rPr>
          <w:noProof/>
          <w:lang w:val="de-DE"/>
        </w:rPr>
      </w:pPr>
      <w:r w:rsidRPr="00C53804">
        <w:rPr>
          <w:noProof/>
        </w:rPr>
        <w:t xml:space="preserve">16. Weil D, D’Alessio M, Ramirez F, Eyre DR. Structural and functional characterization of a splicing mutation in the pro-alpha 2(I) collagen gene of an Ehlers-Danlos type VII patient. </w:t>
      </w:r>
      <w:r w:rsidRPr="008D5F35">
        <w:rPr>
          <w:noProof/>
          <w:lang w:val="de-DE"/>
        </w:rPr>
        <w:t xml:space="preserve">J Biol Chem. 1990;265:16007–11. </w:t>
      </w:r>
    </w:p>
    <w:p w14:paraId="20875E9E" w14:textId="6FEA2D24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1281">
        <w:rPr>
          <w:noProof/>
          <w:lang w:val="de-DE"/>
        </w:rPr>
        <w:t xml:space="preserve">17. Jeanne M, Labelle-Dumais C, Jorgensen J, Kauffman WB, Mancini GM, Favor J, et al. </w:t>
      </w:r>
      <w:r w:rsidRPr="00C53804">
        <w:rPr>
          <w:noProof/>
        </w:rPr>
        <w:t xml:space="preserve">COL4A2 Mutations Impair COL4A1 and COL4A2 Secretion and Cause Hemorrhagic Stroke. Am J Hum Genet. 2012;90:91–101. </w:t>
      </w:r>
    </w:p>
    <w:p w14:paraId="20875E9F" w14:textId="05D2B358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18. Zafar S, Younas N, Sheikh N, Tahir W, Shafiq M, Schmitz M, et al. Cytoskeleton-Associated Risk Modifiers Involved in Early and Rapid Progression of Sporadic Creutzfeldt-Jakob Disease. Mol Neurobiol. 2017; June. </w:t>
      </w:r>
    </w:p>
    <w:p w14:paraId="20875EA0" w14:textId="7A59973C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19. Abe S, Katagiri T, Saito-Hisaminato A, Usami S, Inoue Y, Tsunoda T, et al. Identification of CRYM as a candidate responsible for nonsyndromic deafness, through cDNA microarray analysis of human cochlear and vestibular tissues. </w:t>
      </w:r>
      <w:r w:rsidRPr="008D5F35">
        <w:rPr>
          <w:noProof/>
        </w:rPr>
        <w:t>Am J Hum Genet. 2003;72:73–82</w:t>
      </w:r>
      <w:r w:rsidRPr="00C53804">
        <w:rPr>
          <w:noProof/>
        </w:rPr>
        <w:t>.</w:t>
      </w:r>
    </w:p>
    <w:p w14:paraId="20875EA1" w14:textId="5A0BDF4B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20. Ii K, Ito H, Kominami E, Hirano A. Abnormal distribution of cathepsin proteinases and endogenous inhibitors (cystatins) in the hippocampus of patients with Alzheimer’s disease, parkinsonism-dementia complex on Guam, and senile dementia and in the aged. Virchows Arch A Pathol Anat Histopathol. 1993;423:185–94. </w:t>
      </w:r>
    </w:p>
    <w:p w14:paraId="20875EA2" w14:textId="14821BE3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21. Dianzani I, Howells DW, Ponzone A, Saleeba JA, Smooker PM, Cotton RG. Two new mutations in the dihydropteridine reductase gene in patients with tetrahydrobiopterin deficiency. J Med Genet. 1993;30:465–9. </w:t>
      </w:r>
    </w:p>
    <w:p w14:paraId="20875EA3" w14:textId="5E748C8F" w:rsidR="00C53804" w:rsidRPr="008D5F35" w:rsidRDefault="00C53804" w:rsidP="00C53804">
      <w:pPr>
        <w:widowControl w:val="0"/>
        <w:autoSpaceDE w:val="0"/>
        <w:autoSpaceDN w:val="0"/>
        <w:adjustRightInd w:val="0"/>
        <w:rPr>
          <w:noProof/>
          <w:lang w:val="de-DE"/>
        </w:rPr>
      </w:pPr>
      <w:r w:rsidRPr="00C53804">
        <w:rPr>
          <w:noProof/>
        </w:rPr>
        <w:t xml:space="preserve">22. Takito J, Yan L, Ma J, Hikita C, Vijayakumar S, Warburton D, et al. Hensin, the polarity reversal protein, is encoded by DMBT1, a gene frequently deleted in malignant gliomas. </w:t>
      </w:r>
      <w:r w:rsidRPr="008D5F35">
        <w:rPr>
          <w:noProof/>
          <w:lang w:val="de-DE"/>
        </w:rPr>
        <w:t xml:space="preserve">Am J Physiol. 1999;277 2 Pt 2:F277-89. </w:t>
      </w:r>
    </w:p>
    <w:p w14:paraId="20875EA4" w14:textId="38413386" w:rsidR="00C53804" w:rsidRPr="007D1A6C" w:rsidRDefault="00C53804" w:rsidP="00C53804">
      <w:pPr>
        <w:widowControl w:val="0"/>
        <w:autoSpaceDE w:val="0"/>
        <w:autoSpaceDN w:val="0"/>
        <w:adjustRightInd w:val="0"/>
        <w:rPr>
          <w:noProof/>
          <w:lang w:val="de-DE"/>
        </w:rPr>
      </w:pPr>
      <w:r w:rsidRPr="007D1A6C">
        <w:rPr>
          <w:noProof/>
          <w:lang w:val="de-DE"/>
        </w:rPr>
        <w:t xml:space="preserve">23. Valente L, Tiranti V, Marsano RM, Malfatti E, Fernandez-Vizarra E, Donnini C, et al. </w:t>
      </w:r>
      <w:r w:rsidRPr="00C53804">
        <w:rPr>
          <w:noProof/>
        </w:rPr>
        <w:t xml:space="preserve">Infantile Encephalopathy and Defective Mitochondrial DNA Translation in Patients with Mutations of Mitochondrial Elongation Factors EFG1 and EFTu. </w:t>
      </w:r>
      <w:r w:rsidRPr="007D1A6C">
        <w:rPr>
          <w:noProof/>
          <w:lang w:val="de-DE"/>
        </w:rPr>
        <w:t xml:space="preserve">Am J Hum Genet. 2007;80:44–58. </w:t>
      </w:r>
    </w:p>
    <w:p w14:paraId="20875EA5" w14:textId="386272E6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7D1A6C">
        <w:rPr>
          <w:noProof/>
          <w:lang w:val="de-DE"/>
        </w:rPr>
        <w:t xml:space="preserve">24. Horwitz M, Benson KF, Person RE, Aprikyan AG, Dale DC. </w:t>
      </w:r>
      <w:r w:rsidRPr="00C53804">
        <w:rPr>
          <w:noProof/>
        </w:rPr>
        <w:t xml:space="preserve">Mutations in ELA2, </w:t>
      </w:r>
      <w:r w:rsidRPr="00C53804">
        <w:rPr>
          <w:noProof/>
        </w:rPr>
        <w:lastRenderedPageBreak/>
        <w:t>encoding neutrophil elastase, define a 21-day biological clock in cyclic haematopoiesis. Nat Genet. 1999;23:433–6.</w:t>
      </w:r>
    </w:p>
    <w:p w14:paraId="20875EA6" w14:textId="7F80891F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>25. Comi GP, Fortunato F, Lucchiari S, Bordoni A, Prelle A, Jann S, et al. Beta-enolase deficiency, a new metabolic myopathy of distal glycolysis. Ann Neurol. 2001;50:202–7.</w:t>
      </w:r>
    </w:p>
    <w:p w14:paraId="20875EA7" w14:textId="0119781B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>26. Gawinecka J, Cardone F, Asif AR, Pascalis A De, Wemheuer WM, Schulz-schaeffer WJ, et al. Sporadic Creutzfeldt – Jakob disease subtype-specific alterations of the brain proteome : Impact on Rab3a recycling. 2012;3610–20.</w:t>
      </w:r>
    </w:p>
    <w:p w14:paraId="20875EA8" w14:textId="49215171" w:rsidR="00C53804" w:rsidRPr="008D5F35" w:rsidRDefault="00C53804" w:rsidP="00C53804">
      <w:pPr>
        <w:widowControl w:val="0"/>
        <w:autoSpaceDE w:val="0"/>
        <w:autoSpaceDN w:val="0"/>
        <w:adjustRightInd w:val="0"/>
        <w:rPr>
          <w:noProof/>
          <w:lang w:val="de-DE"/>
        </w:rPr>
      </w:pPr>
      <w:r w:rsidRPr="00C53804">
        <w:rPr>
          <w:noProof/>
        </w:rPr>
        <w:t xml:space="preserve">27. Schmitz-Abe K, Ciesielski SJ, Schmidt PJ, Campagna DR, Rahimov F, Schilke BA, et al. Congenital sideroblastic anemia due to mutations in the mitochondrial HSP70 homologue HSPA9. </w:t>
      </w:r>
      <w:r w:rsidRPr="008D5F35">
        <w:rPr>
          <w:noProof/>
          <w:lang w:val="de-DE"/>
        </w:rPr>
        <w:t xml:space="preserve">Blood. 2015;126:2734–8. </w:t>
      </w:r>
    </w:p>
    <w:p w14:paraId="20875EA9" w14:textId="1E3E2748" w:rsidR="00C53804" w:rsidRPr="007D1A6C" w:rsidRDefault="00C53804" w:rsidP="00C53804">
      <w:pPr>
        <w:widowControl w:val="0"/>
        <w:autoSpaceDE w:val="0"/>
        <w:autoSpaceDN w:val="0"/>
        <w:adjustRightInd w:val="0"/>
        <w:rPr>
          <w:noProof/>
          <w:lang w:val="de-DE"/>
        </w:rPr>
      </w:pPr>
      <w:r w:rsidRPr="00C51281">
        <w:rPr>
          <w:noProof/>
          <w:lang w:val="de-DE"/>
        </w:rPr>
        <w:t xml:space="preserve">28. Au PYB, You J, Caluseriu O, Schwartzentruber J, Majewski J, Bernier FP, et al. </w:t>
      </w:r>
      <w:r w:rsidRPr="00C53804">
        <w:rPr>
          <w:noProof/>
        </w:rPr>
        <w:t xml:space="preserve">GeneMatcher Aids in the Identification of a New Malformation Syndrome with Intellectual Disability, Unique Facial Dysmorphisms, and Skeletal and Connective Tissue Abnormalities Caused by De Novo Variants in HNRNPK. </w:t>
      </w:r>
      <w:r w:rsidRPr="007D1A6C">
        <w:rPr>
          <w:noProof/>
          <w:lang w:val="de-DE"/>
        </w:rPr>
        <w:t xml:space="preserve">Hum Mutat. 2015;36:1009–14. </w:t>
      </w:r>
    </w:p>
    <w:p w14:paraId="20875EAA" w14:textId="5175C22F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7D1A6C">
        <w:rPr>
          <w:noProof/>
          <w:lang w:val="de-DE"/>
        </w:rPr>
        <w:t xml:space="preserve">29. Bubber P, Haroutunian V, Fisch G, Blass JP, Gibson GE. </w:t>
      </w:r>
      <w:r w:rsidRPr="00C53804">
        <w:rPr>
          <w:noProof/>
        </w:rPr>
        <w:t xml:space="preserve">Mitochondrial abnormalities in Alzheimer brain: Mechanistic implications. Ann Neurol. 2005;57:695–703. </w:t>
      </w:r>
    </w:p>
    <w:p w14:paraId="20875EAB" w14:textId="075E9ACA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>30. Gawinecka J, Nowak M, Carimalo J, Cardone F, Asif AR, Wemheuer WM, et al. Subtype-specific synaptic proteome alterations in sporadic Creutzfeldt-Jakob disease. J Alzheimers Dis. 2013;37:51–61.</w:t>
      </w:r>
    </w:p>
    <w:p w14:paraId="20875EAC" w14:textId="5364EBE8" w:rsidR="00C53804" w:rsidRPr="008D5F35" w:rsidRDefault="00C53804" w:rsidP="00C53804">
      <w:pPr>
        <w:widowControl w:val="0"/>
        <w:autoSpaceDE w:val="0"/>
        <w:autoSpaceDN w:val="0"/>
        <w:adjustRightInd w:val="0"/>
        <w:rPr>
          <w:noProof/>
          <w:lang w:val="de-DE"/>
        </w:rPr>
      </w:pPr>
      <w:r w:rsidRPr="00C53804">
        <w:rPr>
          <w:noProof/>
        </w:rPr>
        <w:t xml:space="preserve">31. Hamdan FF, Srour M, Capo-Chichi J-M, Daoud H, Nassif C, Patry L, et al. De Novo Mutations in Moderate or Severe Intellectual Disability. PLoS Genet. </w:t>
      </w:r>
      <w:r w:rsidRPr="008D5F35">
        <w:rPr>
          <w:noProof/>
          <w:lang w:val="de-DE"/>
        </w:rPr>
        <w:t xml:space="preserve">2014;10:e1004772. </w:t>
      </w:r>
    </w:p>
    <w:p w14:paraId="20875EAD" w14:textId="5F732A13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8D5F35">
        <w:rPr>
          <w:noProof/>
          <w:lang w:val="de-DE"/>
        </w:rPr>
        <w:t xml:space="preserve">32. Zafar S, Schmitz M, Younus N, Tahir W, Shafiq M, Llorens F, et al. </w:t>
      </w:r>
      <w:r w:rsidRPr="00C53804">
        <w:rPr>
          <w:noProof/>
        </w:rPr>
        <w:t>Creutzfeldt-Jakob Disease Subtype-Specific Regional and Temporal Regulation of ADP Ribosylation Factor-1-Dependent Rho/MLC Pathway at Pre-Clinical Stage. J Mol Neurosci. 2015;56:329–48.</w:t>
      </w:r>
    </w:p>
    <w:p w14:paraId="20875EAE" w14:textId="1682577A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>33. Zerr I, Schmitz M, Karch A, Villar-Piqué A, Kanata E, Golanska E, et al. Cerebrospinal fluid neurofilament light levels in neurodegenerative dementia: Evaluation of diagnostic accuracy in the differential diagnosis of prion diseases. Alzheimer’s Dement. 2018;14:751–63.</w:t>
      </w:r>
    </w:p>
    <w:p w14:paraId="20875EAF" w14:textId="21629B5E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34. Weston PSJ, Poole T, Ryan NS, Nair A, Liang Y, Macpherson K, et al. Serum neurofilament light in familial Alzheimer disease. Neurology. 2017;89:2167–75. </w:t>
      </w:r>
    </w:p>
    <w:p w14:paraId="20875EB0" w14:textId="5EEF39E4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 xml:space="preserve">35. Linden R, Martins VR, Prado MAM, Cammarota M, Izquierdo I, Brentani RR. Physiology of the Prion Protein. Physiol Rev. 2008;88:673–728. </w:t>
      </w:r>
    </w:p>
    <w:p w14:paraId="20875EB1" w14:textId="77777777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>36. Glatzel M, Stoeck K, Seeger H, Lührs T, Aguzzi A. Human prion diseases: Molecular and clinical aspects. Archives of Neurology. 2005;62:545–52.</w:t>
      </w:r>
    </w:p>
    <w:p w14:paraId="20875EB2" w14:textId="77777777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lastRenderedPageBreak/>
        <w:t>37. Wu C-H, Fallini C, Ticozzi N, Keagle PJ, Sapp PC, Piotrowska K, et al. Mutations in the profilin 1 gene cause familial amyotrophic lateral sclerosis. Nature. 2012;488:499–503. doi:10.1038/nature11280.</w:t>
      </w:r>
    </w:p>
    <w:p w14:paraId="20875EB3" w14:textId="77777777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>38. Schubert J, Siekierska A, Langlois M, May P, Huneau C, Becker F, et al. Mutations in STX1B, encoding a presynaptic protein, cause fever-associated epilepsy syndromes. Nat Genet. 2014;46:1327–32. doi:10.1038/ng.3130.</w:t>
      </w:r>
    </w:p>
    <w:p w14:paraId="20875EB4" w14:textId="77777777" w:rsidR="00C53804" w:rsidRPr="007D1A6C" w:rsidRDefault="00C53804" w:rsidP="00C53804">
      <w:pPr>
        <w:widowControl w:val="0"/>
        <w:autoSpaceDE w:val="0"/>
        <w:autoSpaceDN w:val="0"/>
        <w:adjustRightInd w:val="0"/>
        <w:rPr>
          <w:noProof/>
          <w:lang w:val="de-DE"/>
        </w:rPr>
      </w:pPr>
      <w:r w:rsidRPr="00C53804">
        <w:rPr>
          <w:noProof/>
        </w:rPr>
        <w:t xml:space="preserve">39. Zafar S, Shafiq M, Younas N, Schmitz M, Ferrer I, Zerr I. Prion Protein Interactome: Identifying Novel Targets in Slowly and Rapidly Progressive Forms of Alzheimer’s Disease. </w:t>
      </w:r>
      <w:r w:rsidRPr="007D1A6C">
        <w:rPr>
          <w:noProof/>
          <w:lang w:val="de-DE"/>
        </w:rPr>
        <w:t>J Alzheimer’s Dis. 2017;59:265–75. doi:10.3233/JAD-170237.</w:t>
      </w:r>
    </w:p>
    <w:p w14:paraId="20875EB5" w14:textId="77777777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7D1A6C">
        <w:rPr>
          <w:noProof/>
          <w:lang w:val="de-DE"/>
        </w:rPr>
        <w:t xml:space="preserve">40. Leroy E, Boyer R, Auburger G, Leube B, Ulm G, Mezey E, et al. </w:t>
      </w:r>
      <w:r w:rsidRPr="00C53804">
        <w:rPr>
          <w:noProof/>
        </w:rPr>
        <w:t>The ubiquitin pathway in Parkinson’s disease. Nature. 1998;395:451–2. doi:10.1038/26652.</w:t>
      </w:r>
    </w:p>
    <w:p w14:paraId="20875EB6" w14:textId="77777777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>41. Liu Y, Fallon L, Lashuel HA, Liu Z, Lansbury PT. The UCH-L1 gene encodes two opposing enzymatic activities that affect alpha-synuclein degradation and Parkinson’s disease susceptibility. Cell. 2002;111:209–18. http://www.ncbi.nlm.nih.gov/pubmed/12408865. Accessed 24 Jul 2018.</w:t>
      </w:r>
    </w:p>
    <w:p w14:paraId="20875EB7" w14:textId="77777777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>42. Setsuie R, Wada K. The functions of UCH-L1 and its relation to neurodegenerative diseases. Neurochem Int. 2007;51:105–11. doi:10.1016/j.neuint.2007.05.007.</w:t>
      </w:r>
    </w:p>
    <w:p w14:paraId="20875EB8" w14:textId="77777777" w:rsidR="00C53804" w:rsidRPr="00C53804" w:rsidRDefault="00C53804" w:rsidP="00C53804">
      <w:pPr>
        <w:widowControl w:val="0"/>
        <w:autoSpaceDE w:val="0"/>
        <w:autoSpaceDN w:val="0"/>
        <w:adjustRightInd w:val="0"/>
        <w:rPr>
          <w:noProof/>
        </w:rPr>
      </w:pPr>
      <w:r w:rsidRPr="00C53804">
        <w:rPr>
          <w:noProof/>
        </w:rPr>
        <w:t>43. Vesa J, Hellsten E, Verkruyse LA, Camp LA, Rapola J, Santavuori P, et al. Mutations in the palmitoyl protein thioesterase gene causing infantile neuronal ceroid lipofuscinosis. Nature. 1995;376:584–7. doi:10.1038/376584a0.</w:t>
      </w:r>
    </w:p>
    <w:p w14:paraId="20875EB9" w14:textId="77777777" w:rsidR="00F31642" w:rsidRDefault="00F31642" w:rsidP="00F31642"/>
    <w:p w14:paraId="20875EBA" w14:textId="77777777" w:rsidR="00B00D86" w:rsidRDefault="00B00D86" w:rsidP="00F31642"/>
    <w:p w14:paraId="20875EBB" w14:textId="77777777" w:rsidR="00B00D86" w:rsidRDefault="00B00D86">
      <w:pPr>
        <w:spacing w:before="0" w:beforeAutospacing="0" w:after="160" w:afterAutospacing="0" w:line="259" w:lineRule="auto"/>
        <w:jc w:val="left"/>
      </w:pPr>
      <w:r>
        <w:br w:type="page"/>
      </w:r>
    </w:p>
    <w:p w14:paraId="20875EBC" w14:textId="77777777" w:rsidR="00B00D86" w:rsidRPr="008D5F35" w:rsidRDefault="00B00D86" w:rsidP="00B00D86">
      <w:pPr>
        <w:spacing w:before="0" w:beforeAutospacing="0" w:after="160" w:afterAutospacing="0" w:line="259" w:lineRule="auto"/>
        <w:jc w:val="left"/>
      </w:pPr>
      <w:r>
        <w:lastRenderedPageBreak/>
        <w:t xml:space="preserve">1. Yacoubian TA, Slone SR, Harrington AJ, </w:t>
      </w:r>
      <w:proofErr w:type="spellStart"/>
      <w:r>
        <w:t>Hamamichi</w:t>
      </w:r>
      <w:proofErr w:type="spellEnd"/>
      <w:r>
        <w:t xml:space="preserve"> S, </w:t>
      </w:r>
      <w:proofErr w:type="spellStart"/>
      <w:r>
        <w:t>Schieltz</w:t>
      </w:r>
      <w:proofErr w:type="spellEnd"/>
      <w:r>
        <w:t xml:space="preserve"> JM, Caldwell KA, et al. Differential neuroprotective effects of 14-3-3 proteins in models of Parkinson’s disease. </w:t>
      </w:r>
      <w:r w:rsidRPr="008D5F35">
        <w:t>Cell Death Dis. 2010;</w:t>
      </w:r>
      <w:proofErr w:type="gramStart"/>
      <w:r w:rsidRPr="008D5F35">
        <w:t>1:e</w:t>
      </w:r>
      <w:proofErr w:type="gramEnd"/>
      <w:r w:rsidRPr="008D5F35">
        <w:t>2–e2. doi:10.1038/cddis.2009.4.</w:t>
      </w:r>
    </w:p>
    <w:p w14:paraId="20875EBD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 w:rsidRPr="00B00D86">
        <w:rPr>
          <w:lang w:val="de-DE"/>
        </w:rPr>
        <w:t xml:space="preserve">2. </w:t>
      </w:r>
      <w:proofErr w:type="spellStart"/>
      <w:r w:rsidRPr="00B00D86">
        <w:rPr>
          <w:lang w:val="de-DE"/>
        </w:rPr>
        <w:t>Llorens</w:t>
      </w:r>
      <w:proofErr w:type="spellEnd"/>
      <w:r w:rsidRPr="00B00D86">
        <w:rPr>
          <w:lang w:val="de-DE"/>
        </w:rPr>
        <w:t xml:space="preserve"> F, Schmitz M, Knipper T, Schmidt C, Lange P, Fischer A, et al. </w:t>
      </w:r>
      <w:r>
        <w:t xml:space="preserve">Cerebrospinal Fluid Biomarkers of Alzheimer’s Disease Show Different but Partially Overlapping Profile Compared to Vascular Dementia. Front Aging </w:t>
      </w:r>
      <w:proofErr w:type="spellStart"/>
      <w:r>
        <w:t>Neurosci</w:t>
      </w:r>
      <w:proofErr w:type="spellEnd"/>
      <w:r>
        <w:t>. 2017;9 SEP:289. doi:10.3389/fnagi.2017.00289.</w:t>
      </w:r>
    </w:p>
    <w:p w14:paraId="20875EBE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 w:rsidRPr="008D5F35">
        <w:rPr>
          <w:lang w:val="de-DE"/>
        </w:rPr>
        <w:t xml:space="preserve">3. Schindler CK, </w:t>
      </w:r>
      <w:proofErr w:type="spellStart"/>
      <w:r w:rsidRPr="008D5F35">
        <w:rPr>
          <w:lang w:val="de-DE"/>
        </w:rPr>
        <w:t>Heverin</w:t>
      </w:r>
      <w:proofErr w:type="spellEnd"/>
      <w:r w:rsidRPr="008D5F35">
        <w:rPr>
          <w:lang w:val="de-DE"/>
        </w:rPr>
        <w:t xml:space="preserve"> M, </w:t>
      </w:r>
      <w:proofErr w:type="spellStart"/>
      <w:r w:rsidRPr="008D5F35">
        <w:rPr>
          <w:lang w:val="de-DE"/>
        </w:rPr>
        <w:t>Henshall</w:t>
      </w:r>
      <w:proofErr w:type="spellEnd"/>
      <w:r w:rsidRPr="008D5F35">
        <w:rPr>
          <w:lang w:val="de-DE"/>
        </w:rPr>
        <w:t xml:space="preserve"> DC. </w:t>
      </w:r>
      <w:r>
        <w:t xml:space="preserve">Isoform- and subcellular fraction-specific differences in hippocampal 14-3-3 levels following experimentally evoked seizures and in human temporal lobe epilepsy. J </w:t>
      </w:r>
      <w:proofErr w:type="spellStart"/>
      <w:r>
        <w:t>Neurochem</w:t>
      </w:r>
      <w:proofErr w:type="spellEnd"/>
      <w:r>
        <w:t xml:space="preserve">. </w:t>
      </w:r>
      <w:proofErr w:type="gramStart"/>
      <w:r>
        <w:t>2006;99:561</w:t>
      </w:r>
      <w:proofErr w:type="gramEnd"/>
      <w:r>
        <w:t>–9. doi:10.1111/j.1471-4159.2006.</w:t>
      </w:r>
      <w:proofErr w:type="gramStart"/>
      <w:r>
        <w:t>04153.x.</w:t>
      </w:r>
      <w:proofErr w:type="gramEnd"/>
    </w:p>
    <w:p w14:paraId="20875EBF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4. Smith LM, </w:t>
      </w:r>
      <w:proofErr w:type="spellStart"/>
      <w:r>
        <w:t>Strittmatter</w:t>
      </w:r>
      <w:proofErr w:type="spellEnd"/>
      <w:r>
        <w:t xml:space="preserve"> SM. Binding Sites for Amyloid-β Oligomers and Synaptic Toxicity. Cold Spring </w:t>
      </w:r>
      <w:proofErr w:type="spellStart"/>
      <w:r>
        <w:t>Harb</w:t>
      </w:r>
      <w:proofErr w:type="spellEnd"/>
      <w:r>
        <w:t xml:space="preserve"> </w:t>
      </w:r>
      <w:proofErr w:type="spellStart"/>
      <w:r>
        <w:t>Perspect</w:t>
      </w:r>
      <w:proofErr w:type="spellEnd"/>
      <w:r>
        <w:t xml:space="preserve"> Med. 2017;</w:t>
      </w:r>
      <w:proofErr w:type="gramStart"/>
      <w:r>
        <w:t>7:a</w:t>
      </w:r>
      <w:proofErr w:type="gramEnd"/>
      <w:r>
        <w:t>024075. doi:10.1101/</w:t>
      </w:r>
      <w:proofErr w:type="gramStart"/>
      <w:r>
        <w:t>cshperspect.a</w:t>
      </w:r>
      <w:proofErr w:type="gramEnd"/>
      <w:r>
        <w:t>024075.</w:t>
      </w:r>
    </w:p>
    <w:p w14:paraId="20875EC0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5. </w:t>
      </w:r>
      <w:proofErr w:type="spellStart"/>
      <w:r>
        <w:t>Querfurth</w:t>
      </w:r>
      <w:proofErr w:type="spellEnd"/>
      <w:r>
        <w:t xml:space="preserve"> HW, </w:t>
      </w:r>
      <w:proofErr w:type="spellStart"/>
      <w:r>
        <w:t>LaFerla</w:t>
      </w:r>
      <w:proofErr w:type="spellEnd"/>
      <w:r>
        <w:t xml:space="preserve"> FM. Alzheimer’s Disease. N </w:t>
      </w:r>
      <w:proofErr w:type="spellStart"/>
      <w:r>
        <w:t>Engl</w:t>
      </w:r>
      <w:proofErr w:type="spellEnd"/>
      <w:r>
        <w:t xml:space="preserve"> J Med. </w:t>
      </w:r>
      <w:proofErr w:type="gramStart"/>
      <w:r>
        <w:t>2010;362:329</w:t>
      </w:r>
      <w:proofErr w:type="gramEnd"/>
      <w:r>
        <w:t>–44. doi:10.1056/NEJMra0909142.</w:t>
      </w:r>
    </w:p>
    <w:p w14:paraId="20875EC1" w14:textId="77777777" w:rsidR="00B00D86" w:rsidRPr="00B00D86" w:rsidRDefault="00B00D86" w:rsidP="00B00D86">
      <w:pPr>
        <w:spacing w:before="0" w:beforeAutospacing="0" w:after="160" w:afterAutospacing="0" w:line="259" w:lineRule="auto"/>
        <w:jc w:val="left"/>
        <w:rPr>
          <w:lang w:val="de-DE"/>
        </w:rPr>
      </w:pPr>
      <w:r>
        <w:t>6. Spiegel R, Pines O, Ta-</w:t>
      </w:r>
      <w:proofErr w:type="spellStart"/>
      <w:r>
        <w:t>Shma</w:t>
      </w:r>
      <w:proofErr w:type="spellEnd"/>
      <w:r>
        <w:t xml:space="preserve"> A, </w:t>
      </w:r>
      <w:proofErr w:type="spellStart"/>
      <w:r>
        <w:t>Burak</w:t>
      </w:r>
      <w:proofErr w:type="spellEnd"/>
      <w:r>
        <w:t xml:space="preserve"> E, </w:t>
      </w:r>
      <w:proofErr w:type="spellStart"/>
      <w:r>
        <w:t>Shaag</w:t>
      </w:r>
      <w:proofErr w:type="spellEnd"/>
      <w:r>
        <w:t xml:space="preserve"> A, </w:t>
      </w:r>
      <w:proofErr w:type="spellStart"/>
      <w:r>
        <w:t>Halvardson</w:t>
      </w:r>
      <w:proofErr w:type="spellEnd"/>
      <w:r>
        <w:t xml:space="preserve"> J, et al. Infantile Cerebellar-Retinal Degeneration Associated with a Mutation in Mitochondrial Aconitase, ACO2. </w:t>
      </w:r>
      <w:r w:rsidRPr="00B00D86">
        <w:rPr>
          <w:lang w:val="de-DE"/>
        </w:rPr>
        <w:t xml:space="preserve">Am J Hum Genet. </w:t>
      </w:r>
      <w:proofErr w:type="gramStart"/>
      <w:r w:rsidRPr="00B00D86">
        <w:rPr>
          <w:lang w:val="de-DE"/>
        </w:rPr>
        <w:t>2012;90:518</w:t>
      </w:r>
      <w:proofErr w:type="gramEnd"/>
      <w:r w:rsidRPr="00B00D86">
        <w:rPr>
          <w:lang w:val="de-DE"/>
        </w:rPr>
        <w:t>–23. doi:10.1016/j.ajhg.2012.01.009.</w:t>
      </w:r>
    </w:p>
    <w:p w14:paraId="20875EC2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 w:rsidRPr="00B00D86">
        <w:rPr>
          <w:lang w:val="de-DE"/>
        </w:rPr>
        <w:t xml:space="preserve">7. </w:t>
      </w:r>
      <w:proofErr w:type="spellStart"/>
      <w:r w:rsidRPr="00B00D86">
        <w:rPr>
          <w:lang w:val="de-DE"/>
        </w:rPr>
        <w:t>Zafar</w:t>
      </w:r>
      <w:proofErr w:type="spellEnd"/>
      <w:r w:rsidRPr="00B00D86">
        <w:rPr>
          <w:lang w:val="de-DE"/>
        </w:rPr>
        <w:t xml:space="preserve"> S, von </w:t>
      </w:r>
      <w:proofErr w:type="spellStart"/>
      <w:r w:rsidRPr="00B00D86">
        <w:rPr>
          <w:lang w:val="de-DE"/>
        </w:rPr>
        <w:t>Ahsen</w:t>
      </w:r>
      <w:proofErr w:type="spellEnd"/>
      <w:r w:rsidRPr="00B00D86">
        <w:rPr>
          <w:lang w:val="de-DE"/>
        </w:rPr>
        <w:t xml:space="preserve"> N, </w:t>
      </w:r>
      <w:proofErr w:type="spellStart"/>
      <w:r w:rsidRPr="00B00D86">
        <w:rPr>
          <w:lang w:val="de-DE"/>
        </w:rPr>
        <w:t>Oellerich</w:t>
      </w:r>
      <w:proofErr w:type="spellEnd"/>
      <w:r w:rsidRPr="00B00D86">
        <w:rPr>
          <w:lang w:val="de-DE"/>
        </w:rPr>
        <w:t xml:space="preserve"> M, Zerr I, Schulz-Schaeffer WJ, Armstrong VW, et al. </w:t>
      </w:r>
      <w:r>
        <w:t xml:space="preserve">Proteomics Approach to Identify the Interacting Partners of Cellular Prion Protein and Characterization of Rab7a Interaction in Neuronal Cells. J Proteome Res. </w:t>
      </w:r>
      <w:proofErr w:type="gramStart"/>
      <w:r>
        <w:t>2011;10:3123</w:t>
      </w:r>
      <w:proofErr w:type="gramEnd"/>
      <w:r>
        <w:t>–35. doi:10.1021/pr2001989.</w:t>
      </w:r>
    </w:p>
    <w:p w14:paraId="20875EC3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8. </w:t>
      </w:r>
      <w:proofErr w:type="spellStart"/>
      <w:r>
        <w:t>Bogdanova</w:t>
      </w:r>
      <w:proofErr w:type="spellEnd"/>
      <w:r>
        <w:t xml:space="preserve"> N, Horst J, </w:t>
      </w:r>
      <w:proofErr w:type="spellStart"/>
      <w:r>
        <w:t>Chlystun</w:t>
      </w:r>
      <w:proofErr w:type="spellEnd"/>
      <w:r>
        <w:t xml:space="preserve"> M, Croucher PJP, </w:t>
      </w:r>
      <w:proofErr w:type="spellStart"/>
      <w:r>
        <w:t>Nebel</w:t>
      </w:r>
      <w:proofErr w:type="spellEnd"/>
      <w:r>
        <w:t xml:space="preserve"> A, </w:t>
      </w:r>
      <w:proofErr w:type="spellStart"/>
      <w:r>
        <w:t>Bohring</w:t>
      </w:r>
      <w:proofErr w:type="spellEnd"/>
      <w:r>
        <w:t xml:space="preserve"> A, et al. A common haplotype of the annexin A5 (ANXA5) gene promoter is associated with recurrent pregnancy loss. Hum Mol Genet. </w:t>
      </w:r>
      <w:proofErr w:type="gramStart"/>
      <w:r>
        <w:t>2007;16:573</w:t>
      </w:r>
      <w:proofErr w:type="gramEnd"/>
      <w:r>
        <w:t>–8. doi:10.1093/</w:t>
      </w:r>
      <w:proofErr w:type="spellStart"/>
      <w:r>
        <w:t>hmg</w:t>
      </w:r>
      <w:proofErr w:type="spellEnd"/>
      <w:r>
        <w:t>/ddm017.</w:t>
      </w:r>
    </w:p>
    <w:p w14:paraId="20875EC4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9. </w:t>
      </w:r>
      <w:proofErr w:type="spellStart"/>
      <w:r>
        <w:t>Muramatsu</w:t>
      </w:r>
      <w:proofErr w:type="spellEnd"/>
      <w:r>
        <w:t xml:space="preserve"> T, Sakai N, Yanagihara I, Yamada M, </w:t>
      </w:r>
      <w:proofErr w:type="spellStart"/>
      <w:r>
        <w:t>Nishigaki</w:t>
      </w:r>
      <w:proofErr w:type="spellEnd"/>
      <w:r>
        <w:t xml:space="preserve"> T, </w:t>
      </w:r>
      <w:proofErr w:type="spellStart"/>
      <w:r>
        <w:t>Kokubu</w:t>
      </w:r>
      <w:proofErr w:type="spellEnd"/>
      <w:r>
        <w:t xml:space="preserve"> C, et al. Mutation analysis of the acid ceramidase gene in Japanese patients with Farber disease. </w:t>
      </w:r>
      <w:r w:rsidRPr="00B00D86">
        <w:rPr>
          <w:lang w:val="de-DE"/>
        </w:rPr>
        <w:t xml:space="preserve">J </w:t>
      </w:r>
      <w:proofErr w:type="spellStart"/>
      <w:r w:rsidRPr="00B00D86">
        <w:rPr>
          <w:lang w:val="de-DE"/>
        </w:rPr>
        <w:t>Inherit</w:t>
      </w:r>
      <w:proofErr w:type="spellEnd"/>
      <w:r w:rsidRPr="00B00D86">
        <w:rPr>
          <w:lang w:val="de-DE"/>
        </w:rPr>
        <w:t xml:space="preserve"> </w:t>
      </w:r>
      <w:proofErr w:type="spellStart"/>
      <w:r w:rsidRPr="00B00D86">
        <w:rPr>
          <w:lang w:val="de-DE"/>
        </w:rPr>
        <w:t>Metab</w:t>
      </w:r>
      <w:proofErr w:type="spellEnd"/>
      <w:r w:rsidRPr="00B00D86">
        <w:rPr>
          <w:lang w:val="de-DE"/>
        </w:rPr>
        <w:t xml:space="preserve"> Dis. </w:t>
      </w:r>
      <w:proofErr w:type="gramStart"/>
      <w:r w:rsidRPr="00B00D86">
        <w:rPr>
          <w:lang w:val="de-DE"/>
        </w:rPr>
        <w:t>2002;25:585</w:t>
      </w:r>
      <w:proofErr w:type="gramEnd"/>
      <w:r w:rsidRPr="00B00D86">
        <w:rPr>
          <w:lang w:val="de-DE"/>
        </w:rPr>
        <w:t xml:space="preserve">–92. http://www.ncbi.nlm.nih.gov/pubmed/12638942. </w:t>
      </w:r>
      <w:r>
        <w:t>Accessed 23 Jul 2018.</w:t>
      </w:r>
    </w:p>
    <w:p w14:paraId="20875EC5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10. Huang Y, </w:t>
      </w:r>
      <w:proofErr w:type="spellStart"/>
      <w:r>
        <w:t>Tanimukai</w:t>
      </w:r>
      <w:proofErr w:type="spellEnd"/>
      <w:r>
        <w:t xml:space="preserve"> H, Liu F, Iqbal K, </w:t>
      </w:r>
      <w:proofErr w:type="spellStart"/>
      <w:r>
        <w:t>Grundke</w:t>
      </w:r>
      <w:proofErr w:type="spellEnd"/>
      <w:r>
        <w:t xml:space="preserve">-Iqbal I, Gong C-X. Elevation of the level and activity of acid ceramidase in Alzheimer’s disease brain. Eur J </w:t>
      </w:r>
      <w:proofErr w:type="spellStart"/>
      <w:r>
        <w:t>Neurosci</w:t>
      </w:r>
      <w:proofErr w:type="spellEnd"/>
      <w:r>
        <w:t xml:space="preserve">. </w:t>
      </w:r>
      <w:proofErr w:type="gramStart"/>
      <w:r>
        <w:t>2004;20:3489</w:t>
      </w:r>
      <w:proofErr w:type="gramEnd"/>
      <w:r>
        <w:t>–97. doi:10.1111/j.1460-9568.2004.</w:t>
      </w:r>
      <w:proofErr w:type="gramStart"/>
      <w:r>
        <w:t>03852.x.</w:t>
      </w:r>
      <w:proofErr w:type="gramEnd"/>
    </w:p>
    <w:p w14:paraId="20875EC6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11. Cha MY, Cho HJ, Kim C, Jung YO, Kang MJ, Murray ME, et al. Mitochondrial ATP synthase activity is impaired by suppressed O-GlcNAcylation in Alzheimer’s disease. Hum Mol Genet. </w:t>
      </w:r>
      <w:proofErr w:type="gramStart"/>
      <w:r>
        <w:t>2015;24:6492</w:t>
      </w:r>
      <w:proofErr w:type="gramEnd"/>
      <w:r>
        <w:t>–504. doi:10.1093/</w:t>
      </w:r>
      <w:proofErr w:type="spellStart"/>
      <w:r>
        <w:t>hmg</w:t>
      </w:r>
      <w:proofErr w:type="spellEnd"/>
      <w:r>
        <w:t>/ddv358.</w:t>
      </w:r>
    </w:p>
    <w:p w14:paraId="20875EC7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12. Lin Q, Cao Y, Gao J. Serum calreticulin is a negative biomarker in patients with Alzheimer’s disease. Int J Mol Sci. </w:t>
      </w:r>
      <w:proofErr w:type="gramStart"/>
      <w:r>
        <w:t>2014;15:21740</w:t>
      </w:r>
      <w:proofErr w:type="gramEnd"/>
      <w:r>
        <w:t>–53. doi:10.3390/ijms151221740.</w:t>
      </w:r>
    </w:p>
    <w:p w14:paraId="20875EC8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lastRenderedPageBreak/>
        <w:t xml:space="preserve">13. Wang W, Chen R, Luo K, Wu D, Huang L, Huang T, et al. Calnexin inhibits thermal aggregation and neurotoxicity of prion protein. J Cell </w:t>
      </w:r>
      <w:proofErr w:type="spellStart"/>
      <w:r>
        <w:t>Biochem</w:t>
      </w:r>
      <w:proofErr w:type="spellEnd"/>
      <w:r>
        <w:t xml:space="preserve">. </w:t>
      </w:r>
      <w:proofErr w:type="gramStart"/>
      <w:r>
        <w:t>2010;111:343</w:t>
      </w:r>
      <w:proofErr w:type="gramEnd"/>
      <w:r>
        <w:t>–9. doi:10.1002/jcb.22698.</w:t>
      </w:r>
    </w:p>
    <w:p w14:paraId="20875EC9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14. Kovacs GG, Sanchez-Juan P, </w:t>
      </w:r>
      <w:proofErr w:type="spellStart"/>
      <w:r>
        <w:t>Ströbel</w:t>
      </w:r>
      <w:proofErr w:type="spellEnd"/>
      <w:r>
        <w:t xml:space="preserve"> T, Schuur M, </w:t>
      </w:r>
      <w:proofErr w:type="spellStart"/>
      <w:r>
        <w:t>Poleggi</w:t>
      </w:r>
      <w:proofErr w:type="spellEnd"/>
      <w:r>
        <w:t xml:space="preserve"> A, </w:t>
      </w:r>
      <w:proofErr w:type="spellStart"/>
      <w:r>
        <w:t>Nocentini</w:t>
      </w:r>
      <w:proofErr w:type="spellEnd"/>
      <w:r>
        <w:t xml:space="preserve"> S, et al. Cathepsin D (C224T) Polymorphism in Sporadic and Genetic Creutzfeldt-Jakob Disease. Alzheimer Dis Assoc </w:t>
      </w:r>
      <w:proofErr w:type="spellStart"/>
      <w:r>
        <w:t>Disord</w:t>
      </w:r>
      <w:proofErr w:type="spellEnd"/>
      <w:r>
        <w:t xml:space="preserve">. </w:t>
      </w:r>
      <w:proofErr w:type="gramStart"/>
      <w:r>
        <w:t>2010;24:104</w:t>
      </w:r>
      <w:proofErr w:type="gramEnd"/>
      <w:r>
        <w:t>–7. doi:10.1097/WAD.0b013e3181ad378c.</w:t>
      </w:r>
    </w:p>
    <w:p w14:paraId="20875ECA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15. </w:t>
      </w:r>
      <w:proofErr w:type="spellStart"/>
      <w:r>
        <w:t>Takenouchi</w:t>
      </w:r>
      <w:proofErr w:type="spellEnd"/>
      <w:r>
        <w:t xml:space="preserve"> T, </w:t>
      </w:r>
      <w:proofErr w:type="spellStart"/>
      <w:r>
        <w:t>Kosaki</w:t>
      </w:r>
      <w:proofErr w:type="spellEnd"/>
      <w:r>
        <w:t xml:space="preserve"> R, </w:t>
      </w:r>
      <w:proofErr w:type="spellStart"/>
      <w:r>
        <w:t>Niizuma</w:t>
      </w:r>
      <w:proofErr w:type="spellEnd"/>
      <w:r>
        <w:t xml:space="preserve"> T, </w:t>
      </w:r>
      <w:proofErr w:type="spellStart"/>
      <w:r>
        <w:t>Hata</w:t>
      </w:r>
      <w:proofErr w:type="spellEnd"/>
      <w:r>
        <w:t xml:space="preserve"> K, </w:t>
      </w:r>
      <w:proofErr w:type="spellStart"/>
      <w:r>
        <w:t>Kosaki</w:t>
      </w:r>
      <w:proofErr w:type="spellEnd"/>
      <w:r>
        <w:t xml:space="preserve"> K. Macrothrombocytopenia and developmental delay with a de novo CDC42 mutation: Yet another locus for thrombocytopenia and developmental delay. Am J Med Genet Part A. </w:t>
      </w:r>
      <w:proofErr w:type="gramStart"/>
      <w:r>
        <w:t>2015;167:2822</w:t>
      </w:r>
      <w:proofErr w:type="gramEnd"/>
      <w:r>
        <w:t>–5. doi:10.1002/ajmg.a.37275.</w:t>
      </w:r>
    </w:p>
    <w:p w14:paraId="20875ECB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16. Weil D, </w:t>
      </w:r>
      <w:proofErr w:type="spellStart"/>
      <w:r>
        <w:t>D’Alessio</w:t>
      </w:r>
      <w:proofErr w:type="spellEnd"/>
      <w:r>
        <w:t xml:space="preserve"> M, Ramirez F, Eyre DR. Structural and functional characterization of a splicing mutation in the pro-alpha 2(I) collagen gene of an Ehlers-Danlos type VII patient. J Biol Chem. </w:t>
      </w:r>
      <w:proofErr w:type="gramStart"/>
      <w:r>
        <w:t>1990;265:16007</w:t>
      </w:r>
      <w:proofErr w:type="gramEnd"/>
      <w:r>
        <w:t>–11. http://www.ncbi.nlm.nih.gov/pubmed/2394758. Accessed 23 Jul 2018.</w:t>
      </w:r>
    </w:p>
    <w:p w14:paraId="20875ECC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 w:rsidRPr="008D5F35">
        <w:rPr>
          <w:lang w:val="de-DE"/>
        </w:rPr>
        <w:t xml:space="preserve">17. Jeanne M, </w:t>
      </w:r>
      <w:proofErr w:type="spellStart"/>
      <w:r w:rsidRPr="008D5F35">
        <w:rPr>
          <w:lang w:val="de-DE"/>
        </w:rPr>
        <w:t>Labelle-Dumais</w:t>
      </w:r>
      <w:proofErr w:type="spellEnd"/>
      <w:r w:rsidRPr="008D5F35">
        <w:rPr>
          <w:lang w:val="de-DE"/>
        </w:rPr>
        <w:t xml:space="preserve"> C, </w:t>
      </w:r>
      <w:proofErr w:type="spellStart"/>
      <w:r w:rsidRPr="008D5F35">
        <w:rPr>
          <w:lang w:val="de-DE"/>
        </w:rPr>
        <w:t>Jorgensen</w:t>
      </w:r>
      <w:proofErr w:type="spellEnd"/>
      <w:r w:rsidRPr="008D5F35">
        <w:rPr>
          <w:lang w:val="de-DE"/>
        </w:rPr>
        <w:t xml:space="preserve"> J, </w:t>
      </w:r>
      <w:proofErr w:type="spellStart"/>
      <w:r w:rsidRPr="008D5F35">
        <w:rPr>
          <w:lang w:val="de-DE"/>
        </w:rPr>
        <w:t>Kauffman</w:t>
      </w:r>
      <w:proofErr w:type="spellEnd"/>
      <w:r w:rsidRPr="008D5F35">
        <w:rPr>
          <w:lang w:val="de-DE"/>
        </w:rPr>
        <w:t xml:space="preserve"> WB, Mancini GM, </w:t>
      </w:r>
      <w:proofErr w:type="spellStart"/>
      <w:r w:rsidRPr="008D5F35">
        <w:rPr>
          <w:lang w:val="de-DE"/>
        </w:rPr>
        <w:t>Favor</w:t>
      </w:r>
      <w:proofErr w:type="spellEnd"/>
      <w:r w:rsidRPr="008D5F35">
        <w:rPr>
          <w:lang w:val="de-DE"/>
        </w:rPr>
        <w:t xml:space="preserve"> J, et al. </w:t>
      </w:r>
      <w:r>
        <w:t xml:space="preserve">COL4A2 Mutations Impair COL4A1 and COL4A2 Secretion and Cause Hemorrhagic Stroke. Am J Hum Genet. </w:t>
      </w:r>
      <w:proofErr w:type="gramStart"/>
      <w:r>
        <w:t>2012;90:91</w:t>
      </w:r>
      <w:proofErr w:type="gramEnd"/>
      <w:r>
        <w:t xml:space="preserve">–101. </w:t>
      </w:r>
      <w:proofErr w:type="gramStart"/>
      <w:r>
        <w:t>doi:10.1016/j.ajhg</w:t>
      </w:r>
      <w:proofErr w:type="gramEnd"/>
      <w:r>
        <w:t>.2011.11.022.</w:t>
      </w:r>
    </w:p>
    <w:p w14:paraId="20875ECD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18. Zafar S, Younas N, Sheikh N, Tahir W, Shafiq M, Schmitz M, et al. Cytoskeleton-Associated Risk Modifiers Involved in Early and Rapid Progression of Sporadic Creutzfeldt-Jakob Disease. Mol </w:t>
      </w:r>
      <w:proofErr w:type="spellStart"/>
      <w:r>
        <w:t>Neurobiol</w:t>
      </w:r>
      <w:proofErr w:type="spellEnd"/>
      <w:r>
        <w:t>. 2017; June. doi:10.1007/s12035-017-0589-0.</w:t>
      </w:r>
    </w:p>
    <w:p w14:paraId="20875ECE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19. Abe S, </w:t>
      </w:r>
      <w:proofErr w:type="spellStart"/>
      <w:r>
        <w:t>Katagiri</w:t>
      </w:r>
      <w:proofErr w:type="spellEnd"/>
      <w:r>
        <w:t xml:space="preserve"> T, Saito-</w:t>
      </w:r>
      <w:proofErr w:type="spellStart"/>
      <w:r>
        <w:t>Hisaminato</w:t>
      </w:r>
      <w:proofErr w:type="spellEnd"/>
      <w:r>
        <w:t xml:space="preserve"> A, </w:t>
      </w:r>
      <w:proofErr w:type="spellStart"/>
      <w:r>
        <w:t>Usami</w:t>
      </w:r>
      <w:proofErr w:type="spellEnd"/>
      <w:r>
        <w:t xml:space="preserve"> S, Inoue Y, </w:t>
      </w:r>
      <w:proofErr w:type="spellStart"/>
      <w:r>
        <w:t>Tsunoda</w:t>
      </w:r>
      <w:proofErr w:type="spellEnd"/>
      <w:r>
        <w:t xml:space="preserve"> T, et al. Identification of CRYM as a candidate responsible for </w:t>
      </w:r>
      <w:proofErr w:type="spellStart"/>
      <w:r>
        <w:t>nonsyndromic</w:t>
      </w:r>
      <w:proofErr w:type="spellEnd"/>
      <w:r>
        <w:t xml:space="preserve"> deafness, through cDNA microarray analysis of human cochlear and vestibular tissues. </w:t>
      </w:r>
      <w:r w:rsidRPr="00B00D86">
        <w:rPr>
          <w:lang w:val="de-DE"/>
        </w:rPr>
        <w:t xml:space="preserve">Am J Hum Genet. </w:t>
      </w:r>
      <w:proofErr w:type="gramStart"/>
      <w:r w:rsidRPr="00B00D86">
        <w:rPr>
          <w:lang w:val="de-DE"/>
        </w:rPr>
        <w:t>2003;72:73</w:t>
      </w:r>
      <w:proofErr w:type="gramEnd"/>
      <w:r w:rsidRPr="00B00D86">
        <w:rPr>
          <w:lang w:val="de-DE"/>
        </w:rPr>
        <w:t xml:space="preserve">–82. http://www.ncbi.nlm.nih.gov/pubmed/12471561. </w:t>
      </w:r>
      <w:r>
        <w:t>Accessed 23 Jul 2018.</w:t>
      </w:r>
    </w:p>
    <w:p w14:paraId="20875ECF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20. </w:t>
      </w:r>
      <w:proofErr w:type="spellStart"/>
      <w:r>
        <w:t>Ii</w:t>
      </w:r>
      <w:proofErr w:type="spellEnd"/>
      <w:r>
        <w:t xml:space="preserve"> K, Ito H, </w:t>
      </w:r>
      <w:proofErr w:type="spellStart"/>
      <w:r>
        <w:t>Kominami</w:t>
      </w:r>
      <w:proofErr w:type="spellEnd"/>
      <w:r>
        <w:t xml:space="preserve"> E, Hirano A. Abnormal distribution of cathepsin proteinases and endogenous inhibitors (cystatins) in the hippocampus of patients with Alzheimer’s disease, parkinsonism-dementia complex </w:t>
      </w:r>
      <w:proofErr w:type="gramStart"/>
      <w:r>
        <w:t>on</w:t>
      </w:r>
      <w:proofErr w:type="gramEnd"/>
      <w:r>
        <w:t xml:space="preserve"> Guam, and senile dementia and in the aged. </w:t>
      </w:r>
      <w:proofErr w:type="spellStart"/>
      <w:r>
        <w:t>Virchows</w:t>
      </w:r>
      <w:proofErr w:type="spellEnd"/>
      <w:r>
        <w:t xml:space="preserve"> Arch </w:t>
      </w:r>
      <w:proofErr w:type="gramStart"/>
      <w:r>
        <w:t>A</w:t>
      </w:r>
      <w:proofErr w:type="gramEnd"/>
      <w:r>
        <w:t xml:space="preserve"> </w:t>
      </w:r>
      <w:proofErr w:type="spellStart"/>
      <w:r>
        <w:t>Pathol</w:t>
      </w:r>
      <w:proofErr w:type="spellEnd"/>
      <w:r>
        <w:t xml:space="preserve"> </w:t>
      </w:r>
      <w:proofErr w:type="spellStart"/>
      <w:r>
        <w:t>Anat</w:t>
      </w:r>
      <w:proofErr w:type="spellEnd"/>
      <w:r>
        <w:t xml:space="preserve"> </w:t>
      </w:r>
      <w:proofErr w:type="spellStart"/>
      <w:r>
        <w:t>Histopathol</w:t>
      </w:r>
      <w:proofErr w:type="spellEnd"/>
      <w:r>
        <w:t xml:space="preserve">. </w:t>
      </w:r>
      <w:proofErr w:type="gramStart"/>
      <w:r>
        <w:t>1993;423:185</w:t>
      </w:r>
      <w:proofErr w:type="gramEnd"/>
      <w:r>
        <w:t>–94. http://www.ncbi.nlm.nih.gov/pubmed/8236812. Accessed 23 Jul 2018.</w:t>
      </w:r>
    </w:p>
    <w:p w14:paraId="20875ED0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21. </w:t>
      </w:r>
      <w:proofErr w:type="spellStart"/>
      <w:r>
        <w:t>Dianzani</w:t>
      </w:r>
      <w:proofErr w:type="spellEnd"/>
      <w:r>
        <w:t xml:space="preserve"> I, Howells DW, </w:t>
      </w:r>
      <w:proofErr w:type="spellStart"/>
      <w:r>
        <w:t>Ponzone</w:t>
      </w:r>
      <w:proofErr w:type="spellEnd"/>
      <w:r>
        <w:t xml:space="preserve"> A, </w:t>
      </w:r>
      <w:proofErr w:type="spellStart"/>
      <w:r>
        <w:t>Saleeba</w:t>
      </w:r>
      <w:proofErr w:type="spellEnd"/>
      <w:r>
        <w:t xml:space="preserve"> JA, </w:t>
      </w:r>
      <w:proofErr w:type="spellStart"/>
      <w:r>
        <w:t>Smooker</w:t>
      </w:r>
      <w:proofErr w:type="spellEnd"/>
      <w:r>
        <w:t xml:space="preserve"> PM, Cotton RG. Two new mutations in the </w:t>
      </w:r>
      <w:proofErr w:type="spellStart"/>
      <w:r>
        <w:t>dihydropteridine</w:t>
      </w:r>
      <w:proofErr w:type="spellEnd"/>
      <w:r>
        <w:t xml:space="preserve"> reductase gene in patients with tetrahydrobiopterin deficiency. J Med Genet. </w:t>
      </w:r>
      <w:proofErr w:type="gramStart"/>
      <w:r>
        <w:t>1993;30:465</w:t>
      </w:r>
      <w:proofErr w:type="gramEnd"/>
      <w:r>
        <w:t>–9. http://www.ncbi.nlm.nih.gov/pubmed/8326489. Accessed 23 Jul 2018.</w:t>
      </w:r>
    </w:p>
    <w:p w14:paraId="20875ED1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22. </w:t>
      </w:r>
      <w:proofErr w:type="spellStart"/>
      <w:r>
        <w:t>Takito</w:t>
      </w:r>
      <w:proofErr w:type="spellEnd"/>
      <w:r>
        <w:t xml:space="preserve"> J, Yan L, Ma J, </w:t>
      </w:r>
      <w:proofErr w:type="spellStart"/>
      <w:r>
        <w:t>Hikita</w:t>
      </w:r>
      <w:proofErr w:type="spellEnd"/>
      <w:r>
        <w:t xml:space="preserve"> C, Vijayakumar S, Warburton D, et al. </w:t>
      </w:r>
      <w:proofErr w:type="spellStart"/>
      <w:r>
        <w:t>Hensin</w:t>
      </w:r>
      <w:proofErr w:type="spellEnd"/>
      <w:r>
        <w:t xml:space="preserve">, the polarity reversal protein, is encoded by DMBT1, a gene frequently deleted in malignant gliomas. Am J Physiol. 1999;277 2 Pt </w:t>
      </w:r>
      <w:proofErr w:type="gramStart"/>
      <w:r>
        <w:t>2:F</w:t>
      </w:r>
      <w:proofErr w:type="gramEnd"/>
      <w:r>
        <w:t>277-89. http://www.ncbi.nlm.nih.gov/pubmed/10444583. Accessed 23 Jul 2018.</w:t>
      </w:r>
    </w:p>
    <w:p w14:paraId="20875ED2" w14:textId="77777777" w:rsidR="00B00D86" w:rsidRPr="00B00D86" w:rsidRDefault="00B00D86" w:rsidP="00B00D86">
      <w:pPr>
        <w:spacing w:before="0" w:beforeAutospacing="0" w:after="160" w:afterAutospacing="0" w:line="259" w:lineRule="auto"/>
        <w:jc w:val="left"/>
        <w:rPr>
          <w:lang w:val="de-DE"/>
        </w:rPr>
      </w:pPr>
      <w:r w:rsidRPr="00B00D86">
        <w:rPr>
          <w:lang w:val="de-DE"/>
        </w:rPr>
        <w:lastRenderedPageBreak/>
        <w:t xml:space="preserve">23. Valente L, </w:t>
      </w:r>
      <w:proofErr w:type="spellStart"/>
      <w:r w:rsidRPr="00B00D86">
        <w:rPr>
          <w:lang w:val="de-DE"/>
        </w:rPr>
        <w:t>Tiranti</w:t>
      </w:r>
      <w:proofErr w:type="spellEnd"/>
      <w:r w:rsidRPr="00B00D86">
        <w:rPr>
          <w:lang w:val="de-DE"/>
        </w:rPr>
        <w:t xml:space="preserve"> V, </w:t>
      </w:r>
      <w:proofErr w:type="spellStart"/>
      <w:r w:rsidRPr="00B00D86">
        <w:rPr>
          <w:lang w:val="de-DE"/>
        </w:rPr>
        <w:t>Marsano</w:t>
      </w:r>
      <w:proofErr w:type="spellEnd"/>
      <w:r w:rsidRPr="00B00D86">
        <w:rPr>
          <w:lang w:val="de-DE"/>
        </w:rPr>
        <w:t xml:space="preserve"> RM, </w:t>
      </w:r>
      <w:proofErr w:type="spellStart"/>
      <w:r w:rsidRPr="00B00D86">
        <w:rPr>
          <w:lang w:val="de-DE"/>
        </w:rPr>
        <w:t>Malfatti</w:t>
      </w:r>
      <w:proofErr w:type="spellEnd"/>
      <w:r w:rsidRPr="00B00D86">
        <w:rPr>
          <w:lang w:val="de-DE"/>
        </w:rPr>
        <w:t xml:space="preserve"> E, Fernandez-</w:t>
      </w:r>
      <w:proofErr w:type="spellStart"/>
      <w:r w:rsidRPr="00B00D86">
        <w:rPr>
          <w:lang w:val="de-DE"/>
        </w:rPr>
        <w:t>Vizarra</w:t>
      </w:r>
      <w:proofErr w:type="spellEnd"/>
      <w:r w:rsidRPr="00B00D86">
        <w:rPr>
          <w:lang w:val="de-DE"/>
        </w:rPr>
        <w:t xml:space="preserve"> E, </w:t>
      </w:r>
      <w:proofErr w:type="spellStart"/>
      <w:r w:rsidRPr="00B00D86">
        <w:rPr>
          <w:lang w:val="de-DE"/>
        </w:rPr>
        <w:t>Donnini</w:t>
      </w:r>
      <w:proofErr w:type="spellEnd"/>
      <w:r w:rsidRPr="00B00D86">
        <w:rPr>
          <w:lang w:val="de-DE"/>
        </w:rPr>
        <w:t xml:space="preserve"> C, et al. </w:t>
      </w:r>
      <w:r>
        <w:t xml:space="preserve">Infantile Encephalopathy and Defective Mitochondrial </w:t>
      </w:r>
      <w:proofErr w:type="gramStart"/>
      <w:r>
        <w:t>DNA Translation</w:t>
      </w:r>
      <w:proofErr w:type="gramEnd"/>
      <w:r>
        <w:t xml:space="preserve"> in Patients with Mutations of Mitochondrial Elongation Factors EFG1 and </w:t>
      </w:r>
      <w:proofErr w:type="spellStart"/>
      <w:r>
        <w:t>EFTu</w:t>
      </w:r>
      <w:proofErr w:type="spellEnd"/>
      <w:r>
        <w:t xml:space="preserve">. </w:t>
      </w:r>
      <w:r w:rsidRPr="00B00D86">
        <w:rPr>
          <w:lang w:val="de-DE"/>
        </w:rPr>
        <w:t xml:space="preserve">Am J Hum Genet. </w:t>
      </w:r>
      <w:proofErr w:type="gramStart"/>
      <w:r w:rsidRPr="00B00D86">
        <w:rPr>
          <w:lang w:val="de-DE"/>
        </w:rPr>
        <w:t>2007;80:44</w:t>
      </w:r>
      <w:proofErr w:type="gramEnd"/>
      <w:r w:rsidRPr="00B00D86">
        <w:rPr>
          <w:lang w:val="de-DE"/>
        </w:rPr>
        <w:t>–58. doi:10.1086/510559.</w:t>
      </w:r>
    </w:p>
    <w:p w14:paraId="20875ED3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 w:rsidRPr="00B00D86">
        <w:rPr>
          <w:lang w:val="de-DE"/>
        </w:rPr>
        <w:t xml:space="preserve">24. </w:t>
      </w:r>
      <w:proofErr w:type="spellStart"/>
      <w:r w:rsidRPr="00B00D86">
        <w:rPr>
          <w:lang w:val="de-DE"/>
        </w:rPr>
        <w:t>Horwitz</w:t>
      </w:r>
      <w:proofErr w:type="spellEnd"/>
      <w:r w:rsidRPr="00B00D86">
        <w:rPr>
          <w:lang w:val="de-DE"/>
        </w:rPr>
        <w:t xml:space="preserve"> M, Benson KF, Person RE, </w:t>
      </w:r>
      <w:proofErr w:type="spellStart"/>
      <w:r w:rsidRPr="00B00D86">
        <w:rPr>
          <w:lang w:val="de-DE"/>
        </w:rPr>
        <w:t>Aprikyan</w:t>
      </w:r>
      <w:proofErr w:type="spellEnd"/>
      <w:r w:rsidRPr="00B00D86">
        <w:rPr>
          <w:lang w:val="de-DE"/>
        </w:rPr>
        <w:t xml:space="preserve"> AG, Dale DC. </w:t>
      </w:r>
      <w:r>
        <w:t xml:space="preserve">Mutations in ELA2, encoding neutrophil elastase, define a 21-day biological clock in cyclic </w:t>
      </w:r>
      <w:proofErr w:type="spellStart"/>
      <w:r>
        <w:t>haematopoiesis</w:t>
      </w:r>
      <w:proofErr w:type="spellEnd"/>
      <w:r>
        <w:t xml:space="preserve">. Nat Genet. </w:t>
      </w:r>
      <w:proofErr w:type="gramStart"/>
      <w:r>
        <w:t>1999;23:433</w:t>
      </w:r>
      <w:proofErr w:type="gramEnd"/>
      <w:r>
        <w:t>–6. doi:10.1038/70544.</w:t>
      </w:r>
    </w:p>
    <w:p w14:paraId="20875ED4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25. </w:t>
      </w:r>
      <w:proofErr w:type="spellStart"/>
      <w:r>
        <w:t>Comi</w:t>
      </w:r>
      <w:proofErr w:type="spellEnd"/>
      <w:r>
        <w:t xml:space="preserve"> GP, Fortunato F, </w:t>
      </w:r>
      <w:proofErr w:type="spellStart"/>
      <w:r>
        <w:t>Lucchiari</w:t>
      </w:r>
      <w:proofErr w:type="spellEnd"/>
      <w:r>
        <w:t xml:space="preserve"> S, </w:t>
      </w:r>
      <w:proofErr w:type="spellStart"/>
      <w:r>
        <w:t>Bordoni</w:t>
      </w:r>
      <w:proofErr w:type="spellEnd"/>
      <w:r>
        <w:t xml:space="preserve"> A, </w:t>
      </w:r>
      <w:proofErr w:type="spellStart"/>
      <w:r>
        <w:t>Prelle</w:t>
      </w:r>
      <w:proofErr w:type="spellEnd"/>
      <w:r>
        <w:t xml:space="preserve"> A, Jann S, et al. Beta-enolase deficiency, a new metabolic myopathy of distal glycolysis. Ann Neurol. </w:t>
      </w:r>
      <w:proofErr w:type="gramStart"/>
      <w:r>
        <w:t>2001;50:202</w:t>
      </w:r>
      <w:proofErr w:type="gramEnd"/>
      <w:r>
        <w:t>–7. http://www.ncbi.nlm.nih.gov/pubmed/11506403. Accessed 24 Jul 2018.</w:t>
      </w:r>
    </w:p>
    <w:p w14:paraId="20875ED5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26. </w:t>
      </w:r>
      <w:proofErr w:type="spellStart"/>
      <w:r>
        <w:t>Gawinecka</w:t>
      </w:r>
      <w:proofErr w:type="spellEnd"/>
      <w:r>
        <w:t xml:space="preserve"> J, Cardone F, Asif AR, </w:t>
      </w:r>
      <w:proofErr w:type="spellStart"/>
      <w:r>
        <w:t>Pascalis</w:t>
      </w:r>
      <w:proofErr w:type="spellEnd"/>
      <w:r>
        <w:t xml:space="preserve"> A De, </w:t>
      </w:r>
      <w:proofErr w:type="spellStart"/>
      <w:r>
        <w:t>Wemheuer</w:t>
      </w:r>
      <w:proofErr w:type="spellEnd"/>
      <w:r>
        <w:t xml:space="preserve"> WM, Schulz-</w:t>
      </w:r>
      <w:proofErr w:type="spellStart"/>
      <w:r>
        <w:t>schaeffer</w:t>
      </w:r>
      <w:proofErr w:type="spellEnd"/>
      <w:r>
        <w:t xml:space="preserve"> WJ, et al. Sporadic Creutzfeldt – Jakob disease subtype-specific alterations of the brain </w:t>
      </w:r>
      <w:proofErr w:type="gramStart"/>
      <w:r>
        <w:t>proteome :</w:t>
      </w:r>
      <w:proofErr w:type="gramEnd"/>
      <w:r>
        <w:t xml:space="preserve"> Impact on Rab3a recycling. </w:t>
      </w:r>
      <w:proofErr w:type="gramStart"/>
      <w:r>
        <w:t>2012;:</w:t>
      </w:r>
      <w:proofErr w:type="gramEnd"/>
      <w:r>
        <w:t>3610–20.</w:t>
      </w:r>
    </w:p>
    <w:p w14:paraId="20875ED6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27. Schmitz-Abe K, Ciesielski SJ, Schmidt PJ, Campagna DR, Rahimov F, </w:t>
      </w:r>
      <w:proofErr w:type="spellStart"/>
      <w:r>
        <w:t>Schilke</w:t>
      </w:r>
      <w:proofErr w:type="spellEnd"/>
      <w:r>
        <w:t xml:space="preserve"> BA, et al. Congenital sideroblastic anemia due to mutations in the mitochondrial HSP70 homologue HSPA9. Blood. </w:t>
      </w:r>
      <w:proofErr w:type="gramStart"/>
      <w:r>
        <w:t>2015;126:2734</w:t>
      </w:r>
      <w:proofErr w:type="gramEnd"/>
      <w:r>
        <w:t>–8. doi:10.1182/blood-2015-09-659854.</w:t>
      </w:r>
    </w:p>
    <w:p w14:paraId="20875ED7" w14:textId="77777777" w:rsidR="00B00D86" w:rsidRPr="00094055" w:rsidRDefault="00B00D86" w:rsidP="00B00D86">
      <w:pPr>
        <w:spacing w:before="0" w:beforeAutospacing="0" w:after="160" w:afterAutospacing="0" w:line="259" w:lineRule="auto"/>
        <w:jc w:val="left"/>
        <w:rPr>
          <w:lang w:val="de-DE"/>
        </w:rPr>
      </w:pPr>
      <w:r w:rsidRPr="00094055">
        <w:t xml:space="preserve">28. Au PYB, You J, </w:t>
      </w:r>
      <w:proofErr w:type="spellStart"/>
      <w:r w:rsidRPr="00094055">
        <w:t>Caluseriu</w:t>
      </w:r>
      <w:proofErr w:type="spellEnd"/>
      <w:r w:rsidRPr="00094055">
        <w:t xml:space="preserve"> O, </w:t>
      </w:r>
      <w:proofErr w:type="spellStart"/>
      <w:r w:rsidRPr="00094055">
        <w:t>Schwartzentruber</w:t>
      </w:r>
      <w:proofErr w:type="spellEnd"/>
      <w:r w:rsidRPr="00094055">
        <w:t xml:space="preserve"> J, Majewski J, Bernier FP, et al. </w:t>
      </w:r>
      <w:proofErr w:type="spellStart"/>
      <w:r>
        <w:t>GeneMatcher</w:t>
      </w:r>
      <w:proofErr w:type="spellEnd"/>
      <w:r>
        <w:t xml:space="preserve"> Aids in the Identification of a New Malformation Syndrome with Intellectual Disability, Unique Facial Dysmorphisms, and Skeletal and Connective Tissue Abnormalities Caused by De Novo Variants in HNRNPK. </w:t>
      </w:r>
      <w:r w:rsidRPr="00094055">
        <w:rPr>
          <w:lang w:val="de-DE"/>
        </w:rPr>
        <w:t xml:space="preserve">Hum </w:t>
      </w:r>
      <w:proofErr w:type="spellStart"/>
      <w:r w:rsidRPr="00094055">
        <w:rPr>
          <w:lang w:val="de-DE"/>
        </w:rPr>
        <w:t>Mutat</w:t>
      </w:r>
      <w:proofErr w:type="spellEnd"/>
      <w:r w:rsidRPr="00094055">
        <w:rPr>
          <w:lang w:val="de-DE"/>
        </w:rPr>
        <w:t xml:space="preserve">. </w:t>
      </w:r>
      <w:proofErr w:type="gramStart"/>
      <w:r w:rsidRPr="00094055">
        <w:rPr>
          <w:lang w:val="de-DE"/>
        </w:rPr>
        <w:t>2015;36:1009</w:t>
      </w:r>
      <w:proofErr w:type="gramEnd"/>
      <w:r w:rsidRPr="00094055">
        <w:rPr>
          <w:lang w:val="de-DE"/>
        </w:rPr>
        <w:t>–14. doi:10.1002/humu.22837.</w:t>
      </w:r>
    </w:p>
    <w:p w14:paraId="20875ED8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 w:rsidRPr="00094055">
        <w:rPr>
          <w:lang w:val="de-DE"/>
        </w:rPr>
        <w:t xml:space="preserve">29. </w:t>
      </w:r>
      <w:proofErr w:type="spellStart"/>
      <w:r w:rsidRPr="00094055">
        <w:rPr>
          <w:lang w:val="de-DE"/>
        </w:rPr>
        <w:t>Bubber</w:t>
      </w:r>
      <w:proofErr w:type="spellEnd"/>
      <w:r w:rsidRPr="00094055">
        <w:rPr>
          <w:lang w:val="de-DE"/>
        </w:rPr>
        <w:t xml:space="preserve"> P, </w:t>
      </w:r>
      <w:proofErr w:type="spellStart"/>
      <w:r w:rsidRPr="00094055">
        <w:rPr>
          <w:lang w:val="de-DE"/>
        </w:rPr>
        <w:t>Haroutunian</w:t>
      </w:r>
      <w:proofErr w:type="spellEnd"/>
      <w:r w:rsidRPr="00094055">
        <w:rPr>
          <w:lang w:val="de-DE"/>
        </w:rPr>
        <w:t xml:space="preserve"> V, Fisch G, Blass JP, Gibson GE. </w:t>
      </w:r>
      <w:r>
        <w:t xml:space="preserve">Mitochondrial abnormalities in Alzheimer brain: Mechanistic implications. Ann Neurol. </w:t>
      </w:r>
      <w:proofErr w:type="gramStart"/>
      <w:r>
        <w:t>2005;57:695</w:t>
      </w:r>
      <w:proofErr w:type="gramEnd"/>
      <w:r>
        <w:t>–703. doi:10.1002/ana.20474.</w:t>
      </w:r>
    </w:p>
    <w:p w14:paraId="20875ED9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30. </w:t>
      </w:r>
      <w:proofErr w:type="spellStart"/>
      <w:r>
        <w:t>Gawinecka</w:t>
      </w:r>
      <w:proofErr w:type="spellEnd"/>
      <w:r>
        <w:t xml:space="preserve"> J, Nowak M, </w:t>
      </w:r>
      <w:proofErr w:type="spellStart"/>
      <w:r>
        <w:t>Carimalo</w:t>
      </w:r>
      <w:proofErr w:type="spellEnd"/>
      <w:r>
        <w:t xml:space="preserve"> J, Cardone F, Asif AR, </w:t>
      </w:r>
      <w:proofErr w:type="spellStart"/>
      <w:r>
        <w:t>Wemheuer</w:t>
      </w:r>
      <w:proofErr w:type="spellEnd"/>
      <w:r>
        <w:t xml:space="preserve"> WM, et al. Subtype-specific synaptic proteome alterations in sporadic Creutzfeldt-Jakob disease. J </w:t>
      </w:r>
      <w:proofErr w:type="spellStart"/>
      <w:r>
        <w:t>Alzheimers</w:t>
      </w:r>
      <w:proofErr w:type="spellEnd"/>
      <w:r>
        <w:t xml:space="preserve"> Dis. </w:t>
      </w:r>
      <w:proofErr w:type="gramStart"/>
      <w:r>
        <w:t>2013;37:51</w:t>
      </w:r>
      <w:proofErr w:type="gramEnd"/>
      <w:r>
        <w:t>–61. doi:10.3233/JAD-130455.</w:t>
      </w:r>
    </w:p>
    <w:p w14:paraId="20875EDA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31. Hamdan FF, </w:t>
      </w:r>
      <w:proofErr w:type="spellStart"/>
      <w:r>
        <w:t>Srour</w:t>
      </w:r>
      <w:proofErr w:type="spellEnd"/>
      <w:r>
        <w:t xml:space="preserve"> M, Capo-Chichi J-M, Daoud H, Nassif C, </w:t>
      </w:r>
      <w:proofErr w:type="spellStart"/>
      <w:r>
        <w:t>Patry</w:t>
      </w:r>
      <w:proofErr w:type="spellEnd"/>
      <w:r>
        <w:t xml:space="preserve"> L, et al. De Novo Mutations in Moderate or Severe Intellectual Disability. </w:t>
      </w:r>
      <w:proofErr w:type="spellStart"/>
      <w:r>
        <w:t>PLoS</w:t>
      </w:r>
      <w:proofErr w:type="spellEnd"/>
      <w:r>
        <w:t xml:space="preserve"> Genet. 2014;</w:t>
      </w:r>
      <w:proofErr w:type="gramStart"/>
      <w:r>
        <w:t>10:e</w:t>
      </w:r>
      <w:proofErr w:type="gramEnd"/>
      <w:r>
        <w:t xml:space="preserve">1004772. </w:t>
      </w:r>
      <w:proofErr w:type="gramStart"/>
      <w:r>
        <w:t>doi:10.1371/journal.pgen</w:t>
      </w:r>
      <w:proofErr w:type="gramEnd"/>
      <w:r>
        <w:t>.1004772.</w:t>
      </w:r>
    </w:p>
    <w:p w14:paraId="20875EDB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32. Zafar S, Schmitz M, Younus N, Tahir W, Shafiq M, </w:t>
      </w:r>
      <w:proofErr w:type="spellStart"/>
      <w:r>
        <w:t>Llorens</w:t>
      </w:r>
      <w:proofErr w:type="spellEnd"/>
      <w:r>
        <w:t xml:space="preserve"> F, et al. Creutzfeldt-Jakob Disease Subtype-Specific Regional and Temporal Regulation of ADP Ribosylation Factor-1-Dependent Rho/MLC Pathway at Pre-Clinical Stage. J Mol </w:t>
      </w:r>
      <w:proofErr w:type="spellStart"/>
      <w:r>
        <w:t>Neurosci</w:t>
      </w:r>
      <w:proofErr w:type="spellEnd"/>
      <w:r>
        <w:t xml:space="preserve">. </w:t>
      </w:r>
      <w:proofErr w:type="gramStart"/>
      <w:r>
        <w:t>2015;56:329</w:t>
      </w:r>
      <w:proofErr w:type="gramEnd"/>
      <w:r>
        <w:t>–48. doi:10.1007/s12031-015-0544-3.</w:t>
      </w:r>
    </w:p>
    <w:p w14:paraId="20875EDC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33. </w:t>
      </w:r>
      <w:proofErr w:type="spellStart"/>
      <w:r>
        <w:t>Zerr</w:t>
      </w:r>
      <w:proofErr w:type="spellEnd"/>
      <w:r>
        <w:t xml:space="preserve"> I, Schmitz M, </w:t>
      </w:r>
      <w:proofErr w:type="spellStart"/>
      <w:r>
        <w:t>Karch</w:t>
      </w:r>
      <w:proofErr w:type="spellEnd"/>
      <w:r>
        <w:t xml:space="preserve"> A, Villar-Piqué A, Kanata E, </w:t>
      </w:r>
      <w:proofErr w:type="spellStart"/>
      <w:r>
        <w:t>Golanska</w:t>
      </w:r>
      <w:proofErr w:type="spellEnd"/>
      <w:r>
        <w:t xml:space="preserve"> E, et al. Cerebrospinal fluid neurofilament light levels in neurodegenerative dementia: Evaluation of diagnostic accuracy in the differential diagnosis of prion diseases. Alzheimer’s Dement. </w:t>
      </w:r>
      <w:proofErr w:type="gramStart"/>
      <w:r>
        <w:t>2018;14:751</w:t>
      </w:r>
      <w:proofErr w:type="gramEnd"/>
      <w:r>
        <w:t xml:space="preserve">–63. </w:t>
      </w:r>
      <w:proofErr w:type="gramStart"/>
      <w:r>
        <w:t>doi:10.1016/j.jalz</w:t>
      </w:r>
      <w:proofErr w:type="gramEnd"/>
      <w:r>
        <w:t>.2017.12.008.</w:t>
      </w:r>
    </w:p>
    <w:p w14:paraId="20875EDD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lastRenderedPageBreak/>
        <w:t xml:space="preserve">34. Weston PSJ, Poole T, Ryan NS, Nair A, Liang Y, Macpherson K, et al. Serum neurofilament light in familial Alzheimer disease. Neurology. </w:t>
      </w:r>
      <w:proofErr w:type="gramStart"/>
      <w:r>
        <w:t>2017;89:2167</w:t>
      </w:r>
      <w:proofErr w:type="gramEnd"/>
      <w:r>
        <w:t>–75. doi:10.1212/WNL.0000000000004667.</w:t>
      </w:r>
    </w:p>
    <w:p w14:paraId="20875EDE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35. Linden R, Martins VR, Prado MAM, </w:t>
      </w:r>
      <w:proofErr w:type="spellStart"/>
      <w:r>
        <w:t>Cammarota</w:t>
      </w:r>
      <w:proofErr w:type="spellEnd"/>
      <w:r>
        <w:t xml:space="preserve"> M, </w:t>
      </w:r>
      <w:proofErr w:type="spellStart"/>
      <w:r>
        <w:t>Izquierdo</w:t>
      </w:r>
      <w:proofErr w:type="spellEnd"/>
      <w:r>
        <w:t xml:space="preserve"> I, Brentani RR. Physiology of the Prion Protein. </w:t>
      </w:r>
      <w:proofErr w:type="spellStart"/>
      <w:r>
        <w:t>Physiol</w:t>
      </w:r>
      <w:proofErr w:type="spellEnd"/>
      <w:r>
        <w:t xml:space="preserve"> Rev. </w:t>
      </w:r>
      <w:proofErr w:type="gramStart"/>
      <w:r>
        <w:t>2008;88:673</w:t>
      </w:r>
      <w:proofErr w:type="gramEnd"/>
      <w:r>
        <w:t>–728. doi:10.1152/physrev.00007.2007.</w:t>
      </w:r>
    </w:p>
    <w:p w14:paraId="20875EDF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36. </w:t>
      </w:r>
      <w:proofErr w:type="spellStart"/>
      <w:r>
        <w:t>Glatzel</w:t>
      </w:r>
      <w:proofErr w:type="spellEnd"/>
      <w:r>
        <w:t xml:space="preserve"> M, </w:t>
      </w:r>
      <w:proofErr w:type="spellStart"/>
      <w:r>
        <w:t>Stoeck</w:t>
      </w:r>
      <w:proofErr w:type="spellEnd"/>
      <w:r>
        <w:t xml:space="preserve"> K, Seeger H, </w:t>
      </w:r>
      <w:proofErr w:type="spellStart"/>
      <w:r>
        <w:t>Lührs</w:t>
      </w:r>
      <w:proofErr w:type="spellEnd"/>
      <w:r>
        <w:t xml:space="preserve"> T, </w:t>
      </w:r>
      <w:proofErr w:type="spellStart"/>
      <w:r>
        <w:t>Aguzzi</w:t>
      </w:r>
      <w:proofErr w:type="spellEnd"/>
      <w:r>
        <w:t xml:space="preserve"> A. Human prion diseases: Molecular and clinical aspects. Archives of Neurology. </w:t>
      </w:r>
      <w:proofErr w:type="gramStart"/>
      <w:r>
        <w:t>2005;62:545</w:t>
      </w:r>
      <w:proofErr w:type="gramEnd"/>
      <w:r>
        <w:t>–52.</w:t>
      </w:r>
    </w:p>
    <w:p w14:paraId="20875EE0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37. Wu C-H, </w:t>
      </w:r>
      <w:proofErr w:type="spellStart"/>
      <w:r>
        <w:t>Fallini</w:t>
      </w:r>
      <w:proofErr w:type="spellEnd"/>
      <w:r>
        <w:t xml:space="preserve"> C, </w:t>
      </w:r>
      <w:proofErr w:type="spellStart"/>
      <w:r>
        <w:t>Ticozzi</w:t>
      </w:r>
      <w:proofErr w:type="spellEnd"/>
      <w:r>
        <w:t xml:space="preserve"> N, </w:t>
      </w:r>
      <w:proofErr w:type="spellStart"/>
      <w:r>
        <w:t>Keagle</w:t>
      </w:r>
      <w:proofErr w:type="spellEnd"/>
      <w:r>
        <w:t xml:space="preserve"> PJ, Sapp PC, </w:t>
      </w:r>
      <w:proofErr w:type="spellStart"/>
      <w:r>
        <w:t>Piotrowska</w:t>
      </w:r>
      <w:proofErr w:type="spellEnd"/>
      <w:r>
        <w:t xml:space="preserve"> K, et al. Mutations in the profilin 1 gene cause familial amyotrophic lateral sclerosis. Nature. </w:t>
      </w:r>
      <w:proofErr w:type="gramStart"/>
      <w:r>
        <w:t>2012;488:499</w:t>
      </w:r>
      <w:proofErr w:type="gramEnd"/>
      <w:r>
        <w:t>–503. doi:10.1038/nature11280.</w:t>
      </w:r>
    </w:p>
    <w:p w14:paraId="20875EE1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38. Schubert J, </w:t>
      </w:r>
      <w:proofErr w:type="spellStart"/>
      <w:r>
        <w:t>Siekierska</w:t>
      </w:r>
      <w:proofErr w:type="spellEnd"/>
      <w:r>
        <w:t xml:space="preserve"> A, Langlois M, May P, </w:t>
      </w:r>
      <w:proofErr w:type="spellStart"/>
      <w:r>
        <w:t>Huneau</w:t>
      </w:r>
      <w:proofErr w:type="spellEnd"/>
      <w:r>
        <w:t xml:space="preserve"> C, Becker F, et al. Mutations in STX1B, encoding a presynaptic protein, cause fever-associated epilepsy syndromes. Nat Genet. </w:t>
      </w:r>
      <w:proofErr w:type="gramStart"/>
      <w:r>
        <w:t>2014;46:1327</w:t>
      </w:r>
      <w:proofErr w:type="gramEnd"/>
      <w:r>
        <w:t>–32. doi:10.1038/ng.3130.</w:t>
      </w:r>
    </w:p>
    <w:p w14:paraId="20875EE2" w14:textId="77777777" w:rsidR="00B00D86" w:rsidRPr="00B00D86" w:rsidRDefault="00B00D86" w:rsidP="00B00D86">
      <w:pPr>
        <w:spacing w:before="0" w:beforeAutospacing="0" w:after="160" w:afterAutospacing="0" w:line="259" w:lineRule="auto"/>
        <w:jc w:val="left"/>
        <w:rPr>
          <w:lang w:val="de-DE"/>
        </w:rPr>
      </w:pPr>
      <w:r>
        <w:t xml:space="preserve">39. Zafar S, Shafiq M, Younas N, Schmitz M, Ferrer I, </w:t>
      </w:r>
      <w:proofErr w:type="spellStart"/>
      <w:r>
        <w:t>Zerr</w:t>
      </w:r>
      <w:proofErr w:type="spellEnd"/>
      <w:r>
        <w:t xml:space="preserve"> I. Prion Protein Interactome: Identifying Novel Targets in Slowly and Rapidly Progressive Forms of Alzheimer’s Disease. </w:t>
      </w:r>
      <w:r w:rsidRPr="00B00D86">
        <w:rPr>
          <w:lang w:val="de-DE"/>
        </w:rPr>
        <w:t xml:space="preserve">J </w:t>
      </w:r>
      <w:proofErr w:type="spellStart"/>
      <w:proofErr w:type="gramStart"/>
      <w:r w:rsidRPr="00B00D86">
        <w:rPr>
          <w:lang w:val="de-DE"/>
        </w:rPr>
        <w:t>Alzheimer’s</w:t>
      </w:r>
      <w:proofErr w:type="spellEnd"/>
      <w:proofErr w:type="gramEnd"/>
      <w:r w:rsidRPr="00B00D86">
        <w:rPr>
          <w:lang w:val="de-DE"/>
        </w:rPr>
        <w:t xml:space="preserve"> Dis. </w:t>
      </w:r>
      <w:proofErr w:type="gramStart"/>
      <w:r w:rsidRPr="00B00D86">
        <w:rPr>
          <w:lang w:val="de-DE"/>
        </w:rPr>
        <w:t>2017;59:265</w:t>
      </w:r>
      <w:proofErr w:type="gramEnd"/>
      <w:r w:rsidRPr="00B00D86">
        <w:rPr>
          <w:lang w:val="de-DE"/>
        </w:rPr>
        <w:t>–75. doi:10.3233/JAD-170237.</w:t>
      </w:r>
    </w:p>
    <w:p w14:paraId="20875EE3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 w:rsidRPr="00B00D86">
        <w:rPr>
          <w:lang w:val="de-DE"/>
        </w:rPr>
        <w:t xml:space="preserve">40. Leroy E, Boyer R, Auburger G, </w:t>
      </w:r>
      <w:proofErr w:type="spellStart"/>
      <w:r w:rsidRPr="00B00D86">
        <w:rPr>
          <w:lang w:val="de-DE"/>
        </w:rPr>
        <w:t>Leube</w:t>
      </w:r>
      <w:proofErr w:type="spellEnd"/>
      <w:r w:rsidRPr="00B00D86">
        <w:rPr>
          <w:lang w:val="de-DE"/>
        </w:rPr>
        <w:t xml:space="preserve"> B, Ulm G, </w:t>
      </w:r>
      <w:proofErr w:type="spellStart"/>
      <w:r w:rsidRPr="00B00D86">
        <w:rPr>
          <w:lang w:val="de-DE"/>
        </w:rPr>
        <w:t>Mezey</w:t>
      </w:r>
      <w:proofErr w:type="spellEnd"/>
      <w:r w:rsidRPr="00B00D86">
        <w:rPr>
          <w:lang w:val="de-DE"/>
        </w:rPr>
        <w:t xml:space="preserve"> E, et al. </w:t>
      </w:r>
      <w:r>
        <w:t xml:space="preserve">The ubiquitin pathway in Parkinson’s disease. Nature. </w:t>
      </w:r>
      <w:proofErr w:type="gramStart"/>
      <w:r>
        <w:t>1998;395:451</w:t>
      </w:r>
      <w:proofErr w:type="gramEnd"/>
      <w:r>
        <w:t>–2. doi:10.1038/26652.</w:t>
      </w:r>
    </w:p>
    <w:p w14:paraId="20875EE4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41. Liu Y, Fallon L, </w:t>
      </w:r>
      <w:proofErr w:type="spellStart"/>
      <w:r>
        <w:t>Lashuel</w:t>
      </w:r>
      <w:proofErr w:type="spellEnd"/>
      <w:r>
        <w:t xml:space="preserve"> HA, Liu Z, Lansbury PT. The UCH-L1 gene encodes two opposing enzymatic activities that affect alpha-synuclein degradation and Parkinson’s disease susceptibility. Cell. </w:t>
      </w:r>
      <w:proofErr w:type="gramStart"/>
      <w:r>
        <w:t>2002;111:209</w:t>
      </w:r>
      <w:proofErr w:type="gramEnd"/>
      <w:r>
        <w:t>–18. http://www.ncbi.nlm.nih.gov/pubmed/12408865. Accessed 24 Jul 2018.</w:t>
      </w:r>
    </w:p>
    <w:p w14:paraId="20875EE5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42. </w:t>
      </w:r>
      <w:proofErr w:type="spellStart"/>
      <w:r>
        <w:t>Setsuie</w:t>
      </w:r>
      <w:proofErr w:type="spellEnd"/>
      <w:r>
        <w:t xml:space="preserve"> R, Wada K. The functions of UCH-L1 and its relation to neurodegenerative diseases. </w:t>
      </w:r>
      <w:proofErr w:type="spellStart"/>
      <w:r>
        <w:t>Neurochem</w:t>
      </w:r>
      <w:proofErr w:type="spellEnd"/>
      <w:r>
        <w:t xml:space="preserve"> Int. </w:t>
      </w:r>
      <w:proofErr w:type="gramStart"/>
      <w:r>
        <w:t>2007;51:105</w:t>
      </w:r>
      <w:proofErr w:type="gramEnd"/>
      <w:r>
        <w:t xml:space="preserve">–11. </w:t>
      </w:r>
      <w:proofErr w:type="gramStart"/>
      <w:r>
        <w:t>doi:10.1016/j.neuint</w:t>
      </w:r>
      <w:proofErr w:type="gramEnd"/>
      <w:r>
        <w:t>.2007.05.007.</w:t>
      </w:r>
    </w:p>
    <w:p w14:paraId="20875EE6" w14:textId="77777777" w:rsidR="00B00D86" w:rsidRDefault="00B00D86" w:rsidP="00B00D86">
      <w:pPr>
        <w:spacing w:before="0" w:beforeAutospacing="0" w:after="160" w:afterAutospacing="0" w:line="259" w:lineRule="auto"/>
        <w:jc w:val="left"/>
      </w:pPr>
      <w:r>
        <w:t xml:space="preserve">43. </w:t>
      </w:r>
      <w:proofErr w:type="spellStart"/>
      <w:r>
        <w:t>Vesa</w:t>
      </w:r>
      <w:proofErr w:type="spellEnd"/>
      <w:r>
        <w:t xml:space="preserve"> J, </w:t>
      </w:r>
      <w:proofErr w:type="spellStart"/>
      <w:r>
        <w:t>Hellsten</w:t>
      </w:r>
      <w:proofErr w:type="spellEnd"/>
      <w:r>
        <w:t xml:space="preserve"> E, </w:t>
      </w:r>
      <w:proofErr w:type="spellStart"/>
      <w:r>
        <w:t>Verkruyse</w:t>
      </w:r>
      <w:proofErr w:type="spellEnd"/>
      <w:r>
        <w:t xml:space="preserve"> LA, Camp LA, </w:t>
      </w:r>
      <w:proofErr w:type="spellStart"/>
      <w:r>
        <w:t>Rapola</w:t>
      </w:r>
      <w:proofErr w:type="spellEnd"/>
      <w:r>
        <w:t xml:space="preserve"> J, </w:t>
      </w:r>
      <w:proofErr w:type="spellStart"/>
      <w:r>
        <w:t>Santavuori</w:t>
      </w:r>
      <w:proofErr w:type="spellEnd"/>
      <w:r>
        <w:t xml:space="preserve"> P, et al. Mutations in the palmitoyl protein </w:t>
      </w:r>
      <w:proofErr w:type="spellStart"/>
      <w:r>
        <w:t>thioesterase</w:t>
      </w:r>
      <w:proofErr w:type="spellEnd"/>
      <w:r>
        <w:t xml:space="preserve"> gene causing infantile neuronal ceroid lipofuscinosis. Nature. </w:t>
      </w:r>
      <w:proofErr w:type="gramStart"/>
      <w:r>
        <w:t>1995;376:584</w:t>
      </w:r>
      <w:proofErr w:type="gramEnd"/>
      <w:r>
        <w:t>–7. doi:10.1038/376584a0.</w:t>
      </w:r>
    </w:p>
    <w:p w14:paraId="20875EE7" w14:textId="77777777" w:rsidR="00B00D86" w:rsidRDefault="00B00D86" w:rsidP="00B00D86">
      <w:pPr>
        <w:spacing w:before="0" w:beforeAutospacing="0" w:after="160" w:afterAutospacing="0" w:line="259" w:lineRule="auto"/>
        <w:jc w:val="left"/>
      </w:pPr>
    </w:p>
    <w:p w14:paraId="20875EE8" w14:textId="77777777" w:rsidR="00B00D86" w:rsidRDefault="00B00D86" w:rsidP="00B00D86">
      <w:pPr>
        <w:spacing w:before="0" w:beforeAutospacing="0" w:after="160" w:afterAutospacing="0" w:line="259" w:lineRule="auto"/>
        <w:jc w:val="left"/>
      </w:pPr>
    </w:p>
    <w:p w14:paraId="20875EE9" w14:textId="77777777" w:rsidR="00B00D86" w:rsidRPr="00F31642" w:rsidRDefault="00B00D86" w:rsidP="00F31642"/>
    <w:sectPr w:rsidR="00B00D86" w:rsidRPr="00F31642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ArialMT">
    <w:altName w:val="Times New Roman"/>
    <w:panose1 w:val="020B0604020202020204"/>
    <w:charset w:val="80"/>
    <w:family w:val="swiss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E1DE0"/>
    <w:multiLevelType w:val="hybridMultilevel"/>
    <w:tmpl w:val="7FB47B6E"/>
    <w:lvl w:ilvl="0" w:tplc="BF0E0B0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27ECF184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02E8EEB0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7054DCCA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DBE6AF16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6A18A12E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090C75B2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C3669AE8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45309D76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955883"/>
    <w:multiLevelType w:val="hybridMultilevel"/>
    <w:tmpl w:val="E9EC8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E4F06"/>
    <w:multiLevelType w:val="multilevel"/>
    <w:tmpl w:val="C7D8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335A84"/>
    <w:multiLevelType w:val="hybridMultilevel"/>
    <w:tmpl w:val="6E320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B5D46"/>
    <w:multiLevelType w:val="hybridMultilevel"/>
    <w:tmpl w:val="180CE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F430A"/>
    <w:multiLevelType w:val="hybridMultilevel"/>
    <w:tmpl w:val="3C200B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A32D3"/>
    <w:multiLevelType w:val="multilevel"/>
    <w:tmpl w:val="BCFCB6B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6091945"/>
    <w:multiLevelType w:val="hybridMultilevel"/>
    <w:tmpl w:val="549414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520D05"/>
    <w:multiLevelType w:val="multilevel"/>
    <w:tmpl w:val="672094BE"/>
    <w:lvl w:ilvl="0">
      <w:start w:val="1"/>
      <w:numFmt w:val="decimal"/>
      <w:lvlText w:val="%1"/>
      <w:lvlJc w:val="left"/>
      <w:pPr>
        <w:ind w:left="574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88658D9"/>
    <w:multiLevelType w:val="hybridMultilevel"/>
    <w:tmpl w:val="684EE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25328"/>
    <w:multiLevelType w:val="hybridMultilevel"/>
    <w:tmpl w:val="8B606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DE67DC"/>
    <w:multiLevelType w:val="hybridMultilevel"/>
    <w:tmpl w:val="62A6D46E"/>
    <w:lvl w:ilvl="0" w:tplc="8EBC5D9E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79B7CED"/>
    <w:multiLevelType w:val="hybridMultilevel"/>
    <w:tmpl w:val="F064B144"/>
    <w:lvl w:ilvl="0" w:tplc="6A0017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9B4631"/>
    <w:multiLevelType w:val="hybridMultilevel"/>
    <w:tmpl w:val="3092D6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9C8505D"/>
    <w:multiLevelType w:val="hybridMultilevel"/>
    <w:tmpl w:val="78F24714"/>
    <w:lvl w:ilvl="0" w:tplc="C29A0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13"/>
  </w:num>
  <w:num w:numId="9">
    <w:abstractNumId w:val="11"/>
  </w:num>
  <w:num w:numId="10">
    <w:abstractNumId w:val="12"/>
  </w:num>
  <w:num w:numId="11">
    <w:abstractNumId w:val="0"/>
  </w:num>
  <w:num w:numId="12">
    <w:abstractNumId w:val="6"/>
  </w:num>
  <w:num w:numId="13">
    <w:abstractNumId w:val="9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CCB"/>
    <w:rsid w:val="00001607"/>
    <w:rsid w:val="00032B9A"/>
    <w:rsid w:val="00094055"/>
    <w:rsid w:val="000E6B6E"/>
    <w:rsid w:val="00100F52"/>
    <w:rsid w:val="001347FA"/>
    <w:rsid w:val="00136FFD"/>
    <w:rsid w:val="00150EC3"/>
    <w:rsid w:val="001749BD"/>
    <w:rsid w:val="00234472"/>
    <w:rsid w:val="002666A2"/>
    <w:rsid w:val="002B7E9B"/>
    <w:rsid w:val="002D02B4"/>
    <w:rsid w:val="002E0A5D"/>
    <w:rsid w:val="002F7CBB"/>
    <w:rsid w:val="0030027C"/>
    <w:rsid w:val="00323A4C"/>
    <w:rsid w:val="00336740"/>
    <w:rsid w:val="003463A9"/>
    <w:rsid w:val="003C332F"/>
    <w:rsid w:val="003C43D6"/>
    <w:rsid w:val="00406D0E"/>
    <w:rsid w:val="00433650"/>
    <w:rsid w:val="0043571C"/>
    <w:rsid w:val="004565FF"/>
    <w:rsid w:val="00490A7C"/>
    <w:rsid w:val="004A5007"/>
    <w:rsid w:val="004D6B95"/>
    <w:rsid w:val="00504C32"/>
    <w:rsid w:val="00525E83"/>
    <w:rsid w:val="005433FE"/>
    <w:rsid w:val="005762C5"/>
    <w:rsid w:val="005A7172"/>
    <w:rsid w:val="005E2226"/>
    <w:rsid w:val="00610C61"/>
    <w:rsid w:val="00627AE3"/>
    <w:rsid w:val="006A717E"/>
    <w:rsid w:val="006B088A"/>
    <w:rsid w:val="006B7B5E"/>
    <w:rsid w:val="006C7F00"/>
    <w:rsid w:val="006D43C1"/>
    <w:rsid w:val="006F3509"/>
    <w:rsid w:val="00760BCD"/>
    <w:rsid w:val="007659B6"/>
    <w:rsid w:val="0076783A"/>
    <w:rsid w:val="007A1C4F"/>
    <w:rsid w:val="007A4605"/>
    <w:rsid w:val="007B7272"/>
    <w:rsid w:val="007D1A6C"/>
    <w:rsid w:val="007E4FFB"/>
    <w:rsid w:val="0085600A"/>
    <w:rsid w:val="00891D6D"/>
    <w:rsid w:val="008B1D43"/>
    <w:rsid w:val="008C5532"/>
    <w:rsid w:val="008D5F35"/>
    <w:rsid w:val="008E5FA6"/>
    <w:rsid w:val="00971704"/>
    <w:rsid w:val="009B424E"/>
    <w:rsid w:val="009C40D8"/>
    <w:rsid w:val="009D7AC8"/>
    <w:rsid w:val="009D7E24"/>
    <w:rsid w:val="009E066E"/>
    <w:rsid w:val="009E5C14"/>
    <w:rsid w:val="00A12823"/>
    <w:rsid w:val="00A22B37"/>
    <w:rsid w:val="00A84D5D"/>
    <w:rsid w:val="00A87BB3"/>
    <w:rsid w:val="00AA115E"/>
    <w:rsid w:val="00AF49AD"/>
    <w:rsid w:val="00B00D86"/>
    <w:rsid w:val="00B40A51"/>
    <w:rsid w:val="00B7014F"/>
    <w:rsid w:val="00B956E0"/>
    <w:rsid w:val="00BC0490"/>
    <w:rsid w:val="00BE2B6E"/>
    <w:rsid w:val="00BF4775"/>
    <w:rsid w:val="00BF64A9"/>
    <w:rsid w:val="00C14188"/>
    <w:rsid w:val="00C22ABD"/>
    <w:rsid w:val="00C51281"/>
    <w:rsid w:val="00C51A33"/>
    <w:rsid w:val="00C53804"/>
    <w:rsid w:val="00C6702D"/>
    <w:rsid w:val="00D03E54"/>
    <w:rsid w:val="00D04CCB"/>
    <w:rsid w:val="00D17E92"/>
    <w:rsid w:val="00D34932"/>
    <w:rsid w:val="00D813CF"/>
    <w:rsid w:val="00D96A07"/>
    <w:rsid w:val="00DC5004"/>
    <w:rsid w:val="00DF1870"/>
    <w:rsid w:val="00DF1DA4"/>
    <w:rsid w:val="00E80909"/>
    <w:rsid w:val="00E80C71"/>
    <w:rsid w:val="00E87465"/>
    <w:rsid w:val="00E919D9"/>
    <w:rsid w:val="00E92447"/>
    <w:rsid w:val="00E93B4D"/>
    <w:rsid w:val="00EB18F9"/>
    <w:rsid w:val="00EF0DA7"/>
    <w:rsid w:val="00F31642"/>
    <w:rsid w:val="00F529AD"/>
    <w:rsid w:val="00F92195"/>
    <w:rsid w:val="00FB134D"/>
    <w:rsid w:val="00FB75E8"/>
    <w:rsid w:val="00FC4AD3"/>
    <w:rsid w:val="00FD30D7"/>
    <w:rsid w:val="00FF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875CF2"/>
  <w15:chartTrackingRefBased/>
  <w15:docId w15:val="{97AD7E1F-FE48-47F8-9640-4C015213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CCB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4CCB"/>
    <w:pPr>
      <w:keepNext/>
      <w:keepLines/>
      <w:numPr>
        <w:numId w:val="12"/>
      </w:numPr>
      <w:spacing w:before="240" w:after="0"/>
      <w:outlineLvl w:val="0"/>
    </w:pPr>
    <w:rPr>
      <w:rFonts w:eastAsia="Times New Roman"/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CCB"/>
    <w:pPr>
      <w:numPr>
        <w:ilvl w:val="1"/>
        <w:numId w:val="12"/>
      </w:numPr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4CCB"/>
    <w:pPr>
      <w:numPr>
        <w:ilvl w:val="2"/>
        <w:numId w:val="12"/>
      </w:num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04CCB"/>
    <w:pPr>
      <w:numPr>
        <w:ilvl w:val="3"/>
        <w:numId w:val="12"/>
      </w:numPr>
      <w:outlineLvl w:val="3"/>
    </w:pPr>
    <w:rPr>
      <w:i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04CCB"/>
    <w:pPr>
      <w:keepNext/>
      <w:keepLines/>
      <w:numPr>
        <w:ilvl w:val="4"/>
        <w:numId w:val="12"/>
      </w:numPr>
      <w:tabs>
        <w:tab w:val="decimal" w:pos="1440"/>
        <w:tab w:val="left" w:leader="dot" w:pos="2880"/>
      </w:tabs>
      <w:spacing w:before="40" w:after="0" w:line="480" w:lineRule="auto"/>
      <w:outlineLvl w:val="4"/>
    </w:pPr>
    <w:rPr>
      <w:rFonts w:eastAsia="Times New Roman" w:cs="Times New Roman"/>
      <w:i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CCB"/>
    <w:pPr>
      <w:keepNext/>
      <w:keepLines/>
      <w:numPr>
        <w:ilvl w:val="5"/>
        <w:numId w:val="12"/>
      </w:numPr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CCB"/>
    <w:pPr>
      <w:keepNext/>
      <w:keepLines/>
      <w:numPr>
        <w:ilvl w:val="6"/>
        <w:numId w:val="12"/>
      </w:numPr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CCB"/>
    <w:pPr>
      <w:keepNext/>
      <w:keepLines/>
      <w:numPr>
        <w:ilvl w:val="7"/>
        <w:numId w:val="12"/>
      </w:numPr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CCB"/>
    <w:pPr>
      <w:keepNext/>
      <w:keepLines/>
      <w:numPr>
        <w:ilvl w:val="8"/>
        <w:numId w:val="12"/>
      </w:numPr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04CCB"/>
    <w:rPr>
      <w:rFonts w:ascii="Arial" w:eastAsia="Times New Roman" w:hAnsi="Arial" w:cs="Arial"/>
      <w:b/>
      <w:sz w:val="28"/>
      <w:szCs w:val="24"/>
      <w:lang w:val="en-US"/>
    </w:rPr>
  </w:style>
  <w:style w:type="character" w:customStyle="1" w:styleId="Heading2Char">
    <w:name w:val="Heading 2 Char"/>
    <w:link w:val="Heading2"/>
    <w:uiPriority w:val="9"/>
    <w:rsid w:val="00D04CCB"/>
    <w:rPr>
      <w:rFonts w:ascii="Arial" w:hAnsi="Arial" w:cs="Arial"/>
      <w:b/>
      <w:i/>
      <w:sz w:val="28"/>
      <w:szCs w:val="24"/>
      <w:lang w:val="en-US"/>
    </w:rPr>
  </w:style>
  <w:style w:type="character" w:customStyle="1" w:styleId="Heading3Char">
    <w:name w:val="Heading 3 Char"/>
    <w:link w:val="Heading3"/>
    <w:uiPriority w:val="9"/>
    <w:rsid w:val="00D04CCB"/>
    <w:rPr>
      <w:rFonts w:ascii="Arial" w:hAnsi="Arial" w:cs="Arial"/>
      <w:b/>
      <w:sz w:val="24"/>
      <w:szCs w:val="24"/>
      <w:lang w:val="en-US"/>
    </w:rPr>
  </w:style>
  <w:style w:type="character" w:customStyle="1" w:styleId="Heading4Char">
    <w:name w:val="Heading 4 Char"/>
    <w:link w:val="Heading4"/>
    <w:uiPriority w:val="9"/>
    <w:rsid w:val="00D04CCB"/>
    <w:rPr>
      <w:rFonts w:ascii="Arial" w:hAnsi="Arial" w:cs="Arial"/>
      <w:i/>
      <w:sz w:val="24"/>
      <w:szCs w:val="24"/>
      <w:u w:val="single"/>
      <w:lang w:val="en-US"/>
    </w:rPr>
  </w:style>
  <w:style w:type="character" w:customStyle="1" w:styleId="Heading5Char">
    <w:name w:val="Heading 5 Char"/>
    <w:link w:val="Heading5"/>
    <w:uiPriority w:val="9"/>
    <w:rsid w:val="00D04CCB"/>
    <w:rPr>
      <w:rFonts w:ascii="Arial" w:eastAsia="Times New Roman" w:hAnsi="Arial" w:cs="Times New Roman"/>
      <w:i/>
      <w:lang w:val="en-US"/>
    </w:rPr>
  </w:style>
  <w:style w:type="character" w:customStyle="1" w:styleId="Heading6Char">
    <w:name w:val="Heading 6 Char"/>
    <w:link w:val="Heading6"/>
    <w:uiPriority w:val="9"/>
    <w:semiHidden/>
    <w:rsid w:val="00D04CCB"/>
    <w:rPr>
      <w:rFonts w:ascii="Calibri Light" w:eastAsia="Times New Roman" w:hAnsi="Calibri Light" w:cs="Times New Roman"/>
      <w:color w:val="1F3763"/>
      <w:sz w:val="24"/>
      <w:szCs w:val="24"/>
      <w:lang w:val="en-US"/>
    </w:rPr>
  </w:style>
  <w:style w:type="character" w:customStyle="1" w:styleId="Heading7Char">
    <w:name w:val="Heading 7 Char"/>
    <w:link w:val="Heading7"/>
    <w:uiPriority w:val="9"/>
    <w:semiHidden/>
    <w:rsid w:val="00D04CCB"/>
    <w:rPr>
      <w:rFonts w:ascii="Calibri Light" w:eastAsia="Times New Roman" w:hAnsi="Calibri Light" w:cs="Times New Roman"/>
      <w:i/>
      <w:iCs/>
      <w:color w:val="1F3763"/>
      <w:sz w:val="24"/>
      <w:szCs w:val="24"/>
      <w:lang w:val="en-US"/>
    </w:rPr>
  </w:style>
  <w:style w:type="character" w:customStyle="1" w:styleId="Heading8Char">
    <w:name w:val="Heading 8 Char"/>
    <w:link w:val="Heading8"/>
    <w:uiPriority w:val="9"/>
    <w:semiHidden/>
    <w:rsid w:val="00D04CCB"/>
    <w:rPr>
      <w:rFonts w:ascii="Calibri Light" w:eastAsia="Times New Roman" w:hAnsi="Calibri Light" w:cs="Times New Roman"/>
      <w:color w:val="272727"/>
      <w:sz w:val="21"/>
      <w:szCs w:val="21"/>
      <w:lang w:val="en-US"/>
    </w:rPr>
  </w:style>
  <w:style w:type="character" w:customStyle="1" w:styleId="Heading9Char">
    <w:name w:val="Heading 9 Char"/>
    <w:link w:val="Heading9"/>
    <w:uiPriority w:val="9"/>
    <w:semiHidden/>
    <w:rsid w:val="00D04CCB"/>
    <w:rPr>
      <w:rFonts w:ascii="Calibri Light" w:eastAsia="Times New Roman" w:hAnsi="Calibri Light" w:cs="Times New Roman"/>
      <w:i/>
      <w:iCs/>
      <w:color w:val="272727"/>
      <w:sz w:val="21"/>
      <w:szCs w:val="21"/>
      <w:lang w:val="en-US"/>
    </w:rPr>
  </w:style>
  <w:style w:type="character" w:styleId="Strong">
    <w:name w:val="Strong"/>
    <w:uiPriority w:val="22"/>
    <w:qFormat/>
    <w:rsid w:val="00D04CCB"/>
    <w:rPr>
      <w:b/>
      <w:bCs/>
    </w:rPr>
  </w:style>
  <w:style w:type="character" w:styleId="CommentReference">
    <w:name w:val="annotation reference"/>
    <w:uiPriority w:val="99"/>
    <w:semiHidden/>
    <w:unhideWhenUsed/>
    <w:rsid w:val="00D04C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4CC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04CCB"/>
    <w:rPr>
      <w:rFonts w:ascii="Arial" w:hAnsi="Arial" w:cs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4CC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4CCB"/>
    <w:rPr>
      <w:rFonts w:ascii="Arial" w:hAnsi="Arial" w:cs="Arial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CC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04CCB"/>
    <w:rPr>
      <w:rFonts w:ascii="Segoe U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D04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D04CCB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uiPriority w:val="99"/>
    <w:unhideWhenUsed/>
    <w:rsid w:val="00D04CCB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04CCB"/>
    <w:pPr>
      <w:spacing w:before="120" w:after="0"/>
      <w:jc w:val="left"/>
    </w:pPr>
    <w:rPr>
      <w:rFonts w:ascii="Calibri" w:hAnsi="Calibr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D04CCB"/>
    <w:pPr>
      <w:spacing w:before="120" w:after="0"/>
      <w:ind w:left="240"/>
      <w:jc w:val="left"/>
    </w:pPr>
    <w:rPr>
      <w:rFonts w:ascii="Calibri" w:hAnsi="Calibr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D04CCB"/>
    <w:pPr>
      <w:spacing w:after="0"/>
      <w:ind w:left="480"/>
      <w:jc w:val="left"/>
    </w:pPr>
    <w:rPr>
      <w:rFonts w:ascii="Calibri" w:hAnsi="Calibr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4CCB"/>
    <w:pPr>
      <w:spacing w:after="0"/>
      <w:ind w:left="72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04CCB"/>
    <w:pPr>
      <w:spacing w:after="0"/>
      <w:ind w:left="960"/>
      <w:jc w:val="left"/>
    </w:pPr>
    <w:rPr>
      <w:rFonts w:ascii="Calibri" w:hAnsi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04CCB"/>
    <w:pPr>
      <w:spacing w:after="0"/>
      <w:ind w:left="1200"/>
      <w:jc w:val="left"/>
    </w:pPr>
    <w:rPr>
      <w:rFonts w:ascii="Calibri" w:hAnsi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04CCB"/>
    <w:pPr>
      <w:spacing w:after="0"/>
      <w:ind w:left="1440"/>
      <w:jc w:val="left"/>
    </w:pPr>
    <w:rPr>
      <w:rFonts w:ascii="Calibri" w:hAnsi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04CCB"/>
    <w:pPr>
      <w:spacing w:after="0"/>
      <w:ind w:left="1680"/>
      <w:jc w:val="left"/>
    </w:pPr>
    <w:rPr>
      <w:rFonts w:ascii="Calibri" w:hAnsi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04CCB"/>
    <w:pPr>
      <w:spacing w:after="0"/>
      <w:ind w:left="1920"/>
      <w:jc w:val="left"/>
    </w:pPr>
    <w:rPr>
      <w:rFonts w:ascii="Calibri" w:hAnsi="Calibri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04CCB"/>
    <w:rPr>
      <w:sz w:val="32"/>
      <w:u w:val="single"/>
    </w:rPr>
  </w:style>
  <w:style w:type="character" w:customStyle="1" w:styleId="TitleChar">
    <w:name w:val="Title Char"/>
    <w:link w:val="Title"/>
    <w:uiPriority w:val="10"/>
    <w:rsid w:val="00D04CCB"/>
    <w:rPr>
      <w:rFonts w:ascii="Arial" w:hAnsi="Arial" w:cs="Arial"/>
      <w:sz w:val="32"/>
      <w:szCs w:val="24"/>
      <w:u w:val="single"/>
      <w:lang w:val="en-US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D04CCB"/>
    <w:pPr>
      <w:spacing w:after="200"/>
      <w:ind w:left="567" w:right="521"/>
    </w:pPr>
    <w:rPr>
      <w:b/>
      <w:bCs/>
      <w:iCs/>
      <w:sz w:val="20"/>
      <w:szCs w:val="18"/>
    </w:rPr>
  </w:style>
  <w:style w:type="paragraph" w:styleId="ListParagraph">
    <w:name w:val="List Paragraph"/>
    <w:basedOn w:val="Normal"/>
    <w:uiPriority w:val="34"/>
    <w:qFormat/>
    <w:rsid w:val="00D04CCB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D04CCB"/>
    <w:rPr>
      <w:color w:val="954F72"/>
      <w:u w:val="single"/>
    </w:rPr>
  </w:style>
  <w:style w:type="character" w:customStyle="1" w:styleId="CaptionChar">
    <w:name w:val="Caption Char"/>
    <w:link w:val="Caption"/>
    <w:uiPriority w:val="35"/>
    <w:rsid w:val="00D04CCB"/>
    <w:rPr>
      <w:rFonts w:ascii="Arial" w:hAnsi="Arial" w:cs="Arial"/>
      <w:b/>
      <w:bCs/>
      <w:iCs/>
      <w:sz w:val="20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D04CCB"/>
    <w:pPr>
      <w:tabs>
        <w:tab w:val="decimal" w:pos="1440"/>
        <w:tab w:val="left" w:leader="dot" w:pos="2880"/>
      </w:tabs>
      <w:spacing w:after="0"/>
    </w:pPr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D04CCB"/>
    <w:rPr>
      <w:rFonts w:ascii="Arial" w:hAnsi="Arial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D04CCB"/>
    <w:rPr>
      <w:vertAlign w:val="superscript"/>
    </w:rPr>
  </w:style>
  <w:style w:type="paragraph" w:customStyle="1" w:styleId="Default">
    <w:name w:val="Default"/>
    <w:rsid w:val="00D04CC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04CCB"/>
    <w:pPr>
      <w:widowControl w:val="0"/>
      <w:spacing w:after="0"/>
      <w:ind w:left="140"/>
      <w:jc w:val="left"/>
    </w:pPr>
    <w:rPr>
      <w:rFonts w:eastAsia="Arial" w:cs="Times New Roman"/>
    </w:rPr>
  </w:style>
  <w:style w:type="character" w:customStyle="1" w:styleId="BodyTextChar">
    <w:name w:val="Body Text Char"/>
    <w:link w:val="BodyText"/>
    <w:uiPriority w:val="1"/>
    <w:rsid w:val="00D04CCB"/>
    <w:rPr>
      <w:rFonts w:ascii="Arial" w:eastAsia="Arial" w:hAnsi="Arial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4C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04CC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gnkrckgcgsb">
    <w:name w:val="gnkrckgcgsb"/>
    <w:basedOn w:val="DefaultParagraphFont"/>
    <w:rsid w:val="00D04CCB"/>
  </w:style>
  <w:style w:type="character" w:customStyle="1" w:styleId="style23">
    <w:name w:val="style23"/>
    <w:basedOn w:val="DefaultParagraphFont"/>
    <w:rsid w:val="00D04CCB"/>
  </w:style>
  <w:style w:type="paragraph" w:styleId="NormalWeb">
    <w:name w:val="Normal (Web)"/>
    <w:basedOn w:val="Normal"/>
    <w:uiPriority w:val="99"/>
    <w:semiHidden/>
    <w:unhideWhenUsed/>
    <w:rsid w:val="00D04CCB"/>
    <w:pPr>
      <w:jc w:val="left"/>
    </w:pPr>
    <w:rPr>
      <w:rFonts w:ascii="Times New Roman" w:eastAsia="Times New Roman" w:hAnsi="Times New Roman" w:cs="Times New Roman"/>
    </w:rPr>
  </w:style>
  <w:style w:type="numbering" w:customStyle="1" w:styleId="NoList1">
    <w:name w:val="No List1"/>
    <w:next w:val="NoList"/>
    <w:uiPriority w:val="99"/>
    <w:semiHidden/>
    <w:unhideWhenUsed/>
    <w:rsid w:val="00D04CCB"/>
  </w:style>
  <w:style w:type="paragraph" w:customStyle="1" w:styleId="msonormal0">
    <w:name w:val="msonormal"/>
    <w:basedOn w:val="Normal"/>
    <w:rsid w:val="00D04CCB"/>
    <w:pPr>
      <w:jc w:val="left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D04CCB"/>
    <w:pPr>
      <w:jc w:val="left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Normal"/>
    <w:rsid w:val="00D04CCB"/>
    <w:pPr>
      <w:jc w:val="left"/>
      <w:textAlignment w:val="top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"/>
    <w:rsid w:val="00D04CCB"/>
    <w:pPr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al"/>
    <w:rsid w:val="00D04CCB"/>
    <w:pPr>
      <w:jc w:val="lef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D04CCB"/>
    <w:pPr>
      <w:jc w:val="lef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D04CCB"/>
    <w:pPr>
      <w:jc w:val="lef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69">
    <w:name w:val="xl69"/>
    <w:basedOn w:val="Normal"/>
    <w:rsid w:val="00D04CCB"/>
    <w:pPr>
      <w:jc w:val="left"/>
      <w:textAlignment w:val="top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Normal"/>
    <w:rsid w:val="00D04CCB"/>
    <w:pPr>
      <w:jc w:val="lef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D04CCB"/>
    <w:pPr>
      <w:pBdr>
        <w:top w:val="single" w:sz="4" w:space="0" w:color="auto"/>
        <w:bottom w:val="single" w:sz="8" w:space="0" w:color="auto"/>
      </w:pBdr>
      <w:jc w:val="lef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D04CCB"/>
    <w:pPr>
      <w:pBdr>
        <w:right w:val="single" w:sz="4" w:space="0" w:color="auto"/>
      </w:pBdr>
      <w:jc w:val="left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3">
    <w:name w:val="xl73"/>
    <w:basedOn w:val="Normal"/>
    <w:rsid w:val="00D04CCB"/>
    <w:pPr>
      <w:pBdr>
        <w:bottom w:val="single" w:sz="4" w:space="0" w:color="auto"/>
        <w:right w:val="single" w:sz="4" w:space="0" w:color="auto"/>
      </w:pBdr>
      <w:jc w:val="left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4">
    <w:name w:val="xl74"/>
    <w:basedOn w:val="Normal"/>
    <w:rsid w:val="00D04CCB"/>
    <w:pPr>
      <w:pBdr>
        <w:bottom w:val="single" w:sz="4" w:space="0" w:color="auto"/>
      </w:pBdr>
      <w:jc w:val="left"/>
      <w:textAlignment w:val="top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Normal"/>
    <w:rsid w:val="00D04CCB"/>
    <w:pPr>
      <w:pBdr>
        <w:bottom w:val="single" w:sz="4" w:space="0" w:color="auto"/>
      </w:pBdr>
      <w:jc w:val="lef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76">
    <w:name w:val="xl76"/>
    <w:basedOn w:val="Normal"/>
    <w:rsid w:val="00D04CCB"/>
    <w:pPr>
      <w:pBdr>
        <w:bottom w:val="single" w:sz="4" w:space="0" w:color="auto"/>
      </w:pBdr>
      <w:jc w:val="lef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"/>
    <w:rsid w:val="00D04CCB"/>
    <w:pPr>
      <w:pBdr>
        <w:top w:val="single" w:sz="4" w:space="0" w:color="auto"/>
        <w:right w:val="single" w:sz="4" w:space="0" w:color="auto"/>
      </w:pBdr>
      <w:jc w:val="left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8">
    <w:name w:val="xl78"/>
    <w:basedOn w:val="Normal"/>
    <w:rsid w:val="00D04CCB"/>
    <w:pPr>
      <w:pBdr>
        <w:top w:val="single" w:sz="4" w:space="0" w:color="auto"/>
      </w:pBdr>
      <w:jc w:val="lef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"/>
    <w:rsid w:val="00D04CCB"/>
    <w:pPr>
      <w:pBdr>
        <w:top w:val="single" w:sz="4" w:space="0" w:color="auto"/>
      </w:pBdr>
      <w:jc w:val="lef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styleId="Revision">
    <w:name w:val="Revision"/>
    <w:hidden/>
    <w:uiPriority w:val="99"/>
    <w:semiHidden/>
    <w:rsid w:val="00D04CCB"/>
    <w:rPr>
      <w:rFonts w:ascii="Arial" w:hAnsi="Arial" w:cs="Arial"/>
      <w:sz w:val="24"/>
      <w:szCs w:val="24"/>
    </w:rPr>
  </w:style>
  <w:style w:type="character" w:customStyle="1" w:styleId="cat-num">
    <w:name w:val="cat-num"/>
    <w:basedOn w:val="DefaultParagraphFont"/>
    <w:rsid w:val="00D04CCB"/>
  </w:style>
  <w:style w:type="character" w:customStyle="1" w:styleId="UnresolvedMention1">
    <w:name w:val="Unresolved Mention1"/>
    <w:uiPriority w:val="99"/>
    <w:semiHidden/>
    <w:unhideWhenUsed/>
    <w:rsid w:val="00D04CCB"/>
    <w:rPr>
      <w:color w:val="605E5C"/>
      <w:shd w:val="clear" w:color="auto" w:fill="E1DFDD"/>
    </w:rPr>
  </w:style>
  <w:style w:type="paragraph" w:styleId="TableofFigures">
    <w:name w:val="table of figures"/>
    <w:basedOn w:val="Normal"/>
    <w:next w:val="Normal"/>
    <w:uiPriority w:val="99"/>
    <w:unhideWhenUsed/>
    <w:rsid w:val="00D04CCB"/>
    <w:pPr>
      <w:spacing w:after="0"/>
      <w:jc w:val="left"/>
    </w:pPr>
    <w:rPr>
      <w:rFonts w:ascii="Calibri" w:hAnsi="Calibr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D04CCB"/>
    <w:pPr>
      <w:numPr>
        <w:numId w:val="0"/>
      </w:numPr>
      <w:spacing w:line="259" w:lineRule="auto"/>
      <w:jc w:val="left"/>
      <w:outlineLvl w:val="9"/>
    </w:pPr>
    <w:rPr>
      <w:rFonts w:ascii="Calibri Light" w:hAnsi="Calibri Light" w:cs="Times New Roman"/>
      <w:b w:val="0"/>
      <w:color w:val="2F5496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04CC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D04CCB"/>
    <w:rPr>
      <w:rFonts w:ascii="Arial" w:hAnsi="Arial" w:cs="Arial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04CC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D04CCB"/>
    <w:rPr>
      <w:rFonts w:ascii="Arial" w:hAnsi="Arial" w:cs="Arial"/>
      <w:sz w:val="24"/>
      <w:szCs w:val="24"/>
      <w:lang w:val="en-US"/>
    </w:rPr>
  </w:style>
  <w:style w:type="table" w:styleId="PlainTable2">
    <w:name w:val="Plain Table 2"/>
    <w:basedOn w:val="TableNormal"/>
    <w:uiPriority w:val="42"/>
    <w:rsid w:val="00D04CCB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st">
    <w:name w:val="st"/>
    <w:basedOn w:val="DefaultParagraphFont"/>
    <w:rsid w:val="00D04CCB"/>
  </w:style>
  <w:style w:type="character" w:styleId="IntenseEmphasis">
    <w:name w:val="Intense Emphasis"/>
    <w:uiPriority w:val="21"/>
    <w:qFormat/>
    <w:rsid w:val="00D04CCB"/>
    <w:rPr>
      <w:i/>
      <w:iCs/>
      <w:color w:val="4472C4"/>
    </w:rPr>
  </w:style>
  <w:style w:type="character" w:customStyle="1" w:styleId="locality">
    <w:name w:val="locality"/>
    <w:basedOn w:val="DefaultParagraphFont"/>
    <w:rsid w:val="00D04CCB"/>
  </w:style>
  <w:style w:type="character" w:customStyle="1" w:styleId="UnresolvedMention2">
    <w:name w:val="Unresolved Mention2"/>
    <w:uiPriority w:val="99"/>
    <w:semiHidden/>
    <w:unhideWhenUsed/>
    <w:rsid w:val="00D04CCB"/>
    <w:rPr>
      <w:color w:val="605E5C"/>
      <w:shd w:val="clear" w:color="auto" w:fill="E1DFDD"/>
    </w:rPr>
  </w:style>
  <w:style w:type="table" w:customStyle="1" w:styleId="GridTable1Light1">
    <w:name w:val="Grid Table 1 Light1"/>
    <w:basedOn w:val="TableNormal"/>
    <w:uiPriority w:val="46"/>
    <w:rsid w:val="00D04CCB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1">
    <w:name w:val="Plain Table 21"/>
    <w:basedOn w:val="TableNormal"/>
    <w:uiPriority w:val="42"/>
    <w:rsid w:val="00D04CCB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UnresolvedMention3">
    <w:name w:val="Unresolved Mention3"/>
    <w:uiPriority w:val="99"/>
    <w:semiHidden/>
    <w:unhideWhenUsed/>
    <w:rsid w:val="00D04CCB"/>
    <w:rPr>
      <w:color w:val="605E5C"/>
      <w:shd w:val="clear" w:color="auto" w:fill="E1DFDD"/>
    </w:rPr>
  </w:style>
  <w:style w:type="character" w:customStyle="1" w:styleId="EuropassTextBold">
    <w:name w:val="Europass_Text_Bold"/>
    <w:rsid w:val="00D04CCB"/>
    <w:rPr>
      <w:rFonts w:ascii="Arial" w:hAnsi="Arial"/>
      <w:b/>
    </w:rPr>
  </w:style>
  <w:style w:type="paragraph" w:customStyle="1" w:styleId="ECVRightHeading">
    <w:name w:val="_ECV_RightHeading"/>
    <w:basedOn w:val="Normal"/>
    <w:rsid w:val="00D04CCB"/>
    <w:pPr>
      <w:widowControl w:val="0"/>
      <w:suppressLineNumbers/>
      <w:suppressAutoHyphens/>
      <w:spacing w:before="62" w:beforeAutospacing="0" w:after="0" w:afterAutospacing="0" w:line="100" w:lineRule="atLeast"/>
      <w:jc w:val="right"/>
    </w:pPr>
    <w:rPr>
      <w:rFonts w:eastAsia="SimSun" w:cs="Mangal"/>
      <w:color w:val="1593CB"/>
      <w:spacing w:val="-6"/>
      <w:kern w:val="1"/>
      <w:sz w:val="15"/>
      <w:szCs w:val="18"/>
      <w:lang w:val="en-GB" w:eastAsia="zh-CN" w:bidi="hi-IN"/>
    </w:rPr>
  </w:style>
  <w:style w:type="paragraph" w:customStyle="1" w:styleId="ECVSubSectionHeading">
    <w:name w:val="_ECV_SubSectionHeading"/>
    <w:basedOn w:val="Normal"/>
    <w:rsid w:val="00D04CCB"/>
    <w:pPr>
      <w:widowControl w:val="0"/>
      <w:suppressLineNumbers/>
      <w:suppressAutoHyphens/>
      <w:spacing w:before="0" w:beforeAutospacing="0" w:after="0" w:afterAutospacing="0" w:line="100" w:lineRule="atLeast"/>
      <w:jc w:val="left"/>
    </w:pPr>
    <w:rPr>
      <w:rFonts w:eastAsia="SimSun" w:cs="Mangal"/>
      <w:color w:val="0E4194"/>
      <w:spacing w:val="-6"/>
      <w:kern w:val="1"/>
      <w:sz w:val="22"/>
      <w:lang w:val="en-GB" w:eastAsia="zh-CN" w:bidi="hi-IN"/>
    </w:rPr>
  </w:style>
  <w:style w:type="paragraph" w:customStyle="1" w:styleId="ECVOrganisationDetails">
    <w:name w:val="_ECV_OrganisationDetails"/>
    <w:basedOn w:val="Normal"/>
    <w:rsid w:val="00D04CCB"/>
    <w:pPr>
      <w:widowControl w:val="0"/>
      <w:suppressLineNumbers/>
      <w:suppressAutoHyphens/>
      <w:autoSpaceDE w:val="0"/>
      <w:spacing w:before="57" w:beforeAutospacing="0" w:after="85" w:afterAutospacing="0" w:line="100" w:lineRule="atLeast"/>
      <w:jc w:val="left"/>
    </w:pPr>
    <w:rPr>
      <w:rFonts w:eastAsia="ArialMT" w:cs="ArialMT"/>
      <w:color w:val="3F3A38"/>
      <w:spacing w:val="-6"/>
      <w:kern w:val="1"/>
      <w:sz w:val="18"/>
      <w:szCs w:val="18"/>
      <w:lang w:val="en-GB" w:eastAsia="zh-CN" w:bidi="hi-IN"/>
    </w:rPr>
  </w:style>
  <w:style w:type="paragraph" w:customStyle="1" w:styleId="EuropassSectionDetails">
    <w:name w:val="Europass_SectionDetails"/>
    <w:basedOn w:val="Normal"/>
    <w:rsid w:val="00D04CCB"/>
    <w:pPr>
      <w:widowControl w:val="0"/>
      <w:suppressLineNumbers/>
      <w:suppressAutoHyphens/>
      <w:autoSpaceDE w:val="0"/>
      <w:spacing w:before="28" w:beforeAutospacing="0" w:after="56" w:afterAutospacing="0" w:line="100" w:lineRule="atLeast"/>
      <w:jc w:val="left"/>
    </w:pPr>
    <w:rPr>
      <w:rFonts w:eastAsia="SimSun" w:cs="Mangal"/>
      <w:color w:val="3F3A38"/>
      <w:spacing w:val="-6"/>
      <w:kern w:val="1"/>
      <w:sz w:val="18"/>
      <w:lang w:val="en-GB" w:eastAsia="zh-CN" w:bidi="hi-IN"/>
    </w:rPr>
  </w:style>
  <w:style w:type="paragraph" w:customStyle="1" w:styleId="ECVDate">
    <w:name w:val="_ECV_Date"/>
    <w:basedOn w:val="Normal"/>
    <w:rsid w:val="00D04CCB"/>
    <w:pPr>
      <w:widowControl w:val="0"/>
      <w:suppressLineNumbers/>
      <w:suppressAutoHyphens/>
      <w:spacing w:before="28" w:beforeAutospacing="0" w:after="0" w:afterAutospacing="0" w:line="100" w:lineRule="atLeast"/>
      <w:ind w:right="283"/>
      <w:jc w:val="right"/>
      <w:textAlignment w:val="top"/>
    </w:pPr>
    <w:rPr>
      <w:rFonts w:eastAsia="SimSun" w:cs="Mangal"/>
      <w:color w:val="0E4194"/>
      <w:spacing w:val="-6"/>
      <w:kern w:val="1"/>
      <w:sz w:val="18"/>
      <w:lang w:val="en-GB" w:eastAsia="zh-CN" w:bidi="hi-IN"/>
    </w:rPr>
  </w:style>
  <w:style w:type="character" w:customStyle="1" w:styleId="EuropassTextBoldAndItalics">
    <w:name w:val="Europass_Text_Bold_And_Italics"/>
    <w:rsid w:val="00D04CCB"/>
    <w:rPr>
      <w:rFonts w:ascii="Arial" w:hAnsi="Arial"/>
      <w:b/>
      <w:i/>
    </w:rPr>
  </w:style>
  <w:style w:type="character" w:customStyle="1" w:styleId="EuropassTextItalics">
    <w:name w:val="Europass_Text_Italics"/>
    <w:rsid w:val="00D04CCB"/>
    <w:rPr>
      <w:rFonts w:ascii="Arial" w:hAnsi="Arial"/>
      <w:i/>
    </w:rPr>
  </w:style>
  <w:style w:type="character" w:customStyle="1" w:styleId="UnresolvedMention4">
    <w:name w:val="Unresolved Mention4"/>
    <w:uiPriority w:val="99"/>
    <w:semiHidden/>
    <w:unhideWhenUsed/>
    <w:rsid w:val="00D04CCB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D04CCB"/>
    <w:rPr>
      <w:i/>
      <w:iCs/>
    </w:rPr>
  </w:style>
  <w:style w:type="paragraph" w:customStyle="1" w:styleId="desc">
    <w:name w:val="desc"/>
    <w:basedOn w:val="Normal"/>
    <w:rsid w:val="00D04CCB"/>
    <w:pPr>
      <w:jc w:val="left"/>
    </w:pPr>
    <w:rPr>
      <w:rFonts w:ascii="Times New Roman" w:eastAsia="Times New Roman" w:hAnsi="Times New Roman" w:cs="Times New Roman"/>
    </w:rPr>
  </w:style>
  <w:style w:type="paragraph" w:customStyle="1" w:styleId="details">
    <w:name w:val="details"/>
    <w:basedOn w:val="Normal"/>
    <w:rsid w:val="00D04CCB"/>
    <w:pPr>
      <w:jc w:val="left"/>
    </w:pPr>
    <w:rPr>
      <w:rFonts w:ascii="Times New Roman" w:eastAsia="Times New Roman" w:hAnsi="Times New Roman" w:cs="Times New Roman"/>
    </w:rPr>
  </w:style>
  <w:style w:type="character" w:customStyle="1" w:styleId="jrnl">
    <w:name w:val="jrnl"/>
    <w:basedOn w:val="DefaultParagraphFont"/>
    <w:rsid w:val="00D04CCB"/>
  </w:style>
  <w:style w:type="paragraph" w:customStyle="1" w:styleId="Title1">
    <w:name w:val="Title1"/>
    <w:basedOn w:val="Normal"/>
    <w:rsid w:val="00D04CCB"/>
    <w:pPr>
      <w:jc w:val="left"/>
    </w:pPr>
    <w:rPr>
      <w:rFonts w:ascii="Times New Roman" w:eastAsia="Times New Roman" w:hAnsi="Times New Roman" w:cs="Times New Roman"/>
    </w:rPr>
  </w:style>
  <w:style w:type="paragraph" w:customStyle="1" w:styleId="desc2">
    <w:name w:val="desc2"/>
    <w:basedOn w:val="Normal"/>
    <w:rsid w:val="00D04CCB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6"/>
      <w:szCs w:val="26"/>
      <w:lang w:val="de-DE" w:eastAsia="de-DE"/>
    </w:rPr>
  </w:style>
  <w:style w:type="paragraph" w:customStyle="1" w:styleId="details1">
    <w:name w:val="details1"/>
    <w:basedOn w:val="Normal"/>
    <w:rsid w:val="00D04CCB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2"/>
      <w:szCs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09139-6C99-492C-B207-523777622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15</Pages>
  <Words>4300</Words>
  <Characters>24513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Mohsin Shafiq</dc:creator>
  <cp:keywords/>
  <dc:description/>
  <cp:lastModifiedBy>Mohsin Shafiq</cp:lastModifiedBy>
  <cp:revision>27</cp:revision>
  <cp:lastPrinted>2019-09-26T09:12:00Z</cp:lastPrinted>
  <dcterms:created xsi:type="dcterms:W3CDTF">2020-12-22T20:42:00Z</dcterms:created>
  <dcterms:modified xsi:type="dcterms:W3CDTF">2020-12-24T00:00:00Z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http://www.zotero.org/styles/alzheimers-and-dementia-the-journal-of-the-alzheimers-association</vt:lpwstr>
  </property>
  <property fmtid="{D5CDD505-2E9C-101B-9397-08002B2CF9AE}" pid="3" name="Mendeley Recent Style Name 0_1">
    <vt:lpwstr>Alzheimer's &amp; Dementia: The Journal of the Alzheimer's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http://www.zotero.org/styles/biomed-central</vt:lpwstr>
  </property>
  <property fmtid="{D5CDD505-2E9C-101B-9397-08002B2CF9AE}" pid="7" name="Mendeley Recent Style Name 2_1">
    <vt:lpwstr>BioMed Central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http://www.zotero.org/styles/elsevier-harvard</vt:lpwstr>
  </property>
  <property fmtid="{D5CDD505-2E9C-101B-9397-08002B2CF9AE}" pid="11" name="Mendeley Recent Style Name 4_1">
    <vt:lpwstr>Elsevier - Harvard (with titles)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http://www.zotero.org/styles/journal-of-alzheimers-disease</vt:lpwstr>
  </property>
  <property fmtid="{D5CDD505-2E9C-101B-9397-08002B2CF9AE}" pid="17" name="Mendeley Recent Style Name 7_1">
    <vt:lpwstr>Journal of Alzheimer's Disease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8th edition</vt:lpwstr>
  </property>
</Properties>
</file>